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F9770" w14:textId="77777777" w:rsidR="00AB407D" w:rsidRPr="00AB407D" w:rsidRDefault="00AB407D" w:rsidP="00AB407D">
      <w:pPr>
        <w:pStyle w:val="En-tte"/>
        <w:rPr>
          <w:smallCaps/>
          <w:color w:val="5A5A5A" w:themeColor="text1" w:themeTint="A5"/>
        </w:rPr>
      </w:pPr>
    </w:p>
    <w:p w14:paraId="07C4BAAA" w14:textId="59D3EB3B"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noProof/>
          <w:color w:val="000000"/>
          <w:sz w:val="20"/>
          <w:szCs w:val="20"/>
          <w:lang w:eastAsia="fr-FR"/>
        </w:rPr>
        <w:drawing>
          <wp:anchor distT="0" distB="0" distL="0" distR="0" simplePos="0" relativeHeight="251659264" behindDoc="1" locked="0" layoutInCell="1" allowOverlap="0" wp14:anchorId="13959943" wp14:editId="000469AA">
            <wp:simplePos x="0" y="0"/>
            <wp:positionH relativeFrom="margin">
              <wp:align>center</wp:align>
            </wp:positionH>
            <wp:positionV relativeFrom="line">
              <wp:posOffset>-2540</wp:posOffset>
            </wp:positionV>
            <wp:extent cx="1181100" cy="1514475"/>
            <wp:effectExtent l="0" t="0" r="0" b="9525"/>
            <wp:wrapTight wrapText="bothSides">
              <wp:wrapPolygon edited="0">
                <wp:start x="0" y="0"/>
                <wp:lineTo x="0" y="21464"/>
                <wp:lineTo x="21252" y="21464"/>
                <wp:lineTo x="21252" y="0"/>
                <wp:lineTo x="0" y="0"/>
              </wp:wrapPolygon>
            </wp:wrapTight>
            <wp:docPr id="6" name="Image 6" descr="C:\Users\MOUSSA~1.DIO\AppData\Local\Temp\lu62325srkw.tmp\lu62325srm6_tmp_979bff2d92a5b3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OUSSA~1.DIO\AppData\Local\Temp\lu62325srkw.tmp\lu62325srm6_tmp_979bff2d92a5b3c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1100"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7F65">
        <w:rPr>
          <w:rFonts w:ascii="Georgia" w:eastAsia="Times New Roman" w:hAnsi="Georgia" w:cs="Times New Roman"/>
          <w:color w:val="000000"/>
          <w:sz w:val="20"/>
          <w:szCs w:val="20"/>
          <w:lang w:eastAsia="fr-FR"/>
        </w:rPr>
        <w:br w:type="textWrapping" w:clear="left"/>
      </w:r>
    </w:p>
    <w:p w14:paraId="2139ADED"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3CD23058" w14:textId="77777777" w:rsid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0E4C78F0" w14:textId="77777777" w:rsidR="004E7F65" w:rsidRDefault="004E7F65" w:rsidP="004E7F65">
      <w:pPr>
        <w:spacing w:before="100" w:beforeAutospacing="1" w:after="100" w:afterAutospacing="1" w:line="240" w:lineRule="auto"/>
        <w:rPr>
          <w:rFonts w:ascii="Georgia" w:eastAsia="Times New Roman" w:hAnsi="Georgia" w:cs="Times New Roman"/>
          <w:b/>
          <w:bCs/>
          <w:color w:val="000000"/>
          <w:spacing w:val="58"/>
          <w:sz w:val="20"/>
          <w:szCs w:val="20"/>
          <w:shd w:val="clear" w:color="auto" w:fill="FFFFFF"/>
          <w:lang w:eastAsia="fr-FR"/>
        </w:rPr>
      </w:pPr>
    </w:p>
    <w:p w14:paraId="26C83C72" w14:textId="77777777" w:rsidR="004E7F65" w:rsidRDefault="004E7F65" w:rsidP="004E7F65">
      <w:pPr>
        <w:spacing w:before="100" w:beforeAutospacing="1" w:after="100" w:afterAutospacing="1" w:line="240" w:lineRule="auto"/>
        <w:rPr>
          <w:rFonts w:ascii="Georgia" w:eastAsia="Times New Roman" w:hAnsi="Georgia" w:cs="Times New Roman"/>
          <w:b/>
          <w:bCs/>
          <w:color w:val="000000"/>
          <w:spacing w:val="58"/>
          <w:sz w:val="20"/>
          <w:szCs w:val="20"/>
          <w:shd w:val="clear" w:color="auto" w:fill="FFFFFF"/>
          <w:lang w:eastAsia="fr-FR"/>
        </w:rPr>
      </w:pPr>
    </w:p>
    <w:p w14:paraId="6AC3B029" w14:textId="77777777" w:rsidR="004E7F65" w:rsidRPr="004E7F65" w:rsidRDefault="004E7F65" w:rsidP="00B41A8E">
      <w:pPr>
        <w:spacing w:before="100" w:beforeAutospacing="1" w:after="100" w:afterAutospacing="1" w:line="240" w:lineRule="auto"/>
        <w:jc w:val="center"/>
        <w:rPr>
          <w:rFonts w:ascii="Georgia" w:eastAsia="Times New Roman" w:hAnsi="Georgia" w:cs="Times New Roman"/>
          <w:color w:val="000000"/>
          <w:spacing w:val="58"/>
          <w:sz w:val="20"/>
          <w:szCs w:val="20"/>
          <w:lang w:eastAsia="fr-FR"/>
        </w:rPr>
      </w:pPr>
      <w:r w:rsidRPr="004E7F65">
        <w:rPr>
          <w:rFonts w:ascii="Georgia" w:eastAsia="Times New Roman" w:hAnsi="Georgia" w:cs="Times New Roman"/>
          <w:b/>
          <w:bCs/>
          <w:color w:val="000000"/>
          <w:spacing w:val="58"/>
          <w:sz w:val="20"/>
          <w:szCs w:val="20"/>
          <w:shd w:val="clear" w:color="auto" w:fill="FFFFFF"/>
          <w:lang w:eastAsia="fr-FR"/>
        </w:rPr>
        <w:t>MINISTÈRE DE LA CULTURE</w:t>
      </w:r>
    </w:p>
    <w:p w14:paraId="704A116C" w14:textId="77777777" w:rsidR="004E7F65" w:rsidRPr="004E7F65" w:rsidRDefault="004E7F65" w:rsidP="00B41A8E">
      <w:pPr>
        <w:spacing w:before="100" w:beforeAutospacing="1" w:after="100" w:afterAutospacing="1" w:line="240" w:lineRule="auto"/>
        <w:ind w:right="17"/>
        <w:jc w:val="center"/>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u w:val="single"/>
          <w:shd w:val="clear" w:color="auto" w:fill="FFFFFF"/>
          <w:lang w:eastAsia="fr-FR"/>
        </w:rPr>
        <w:t>MARCHE PUBLIC DE FOURNITURES COURANTES ET DE SERVICES</w:t>
      </w:r>
    </w:p>
    <w:p w14:paraId="648B5817" w14:textId="77777777" w:rsidR="004E7F65" w:rsidRPr="004E7F65" w:rsidRDefault="004E7F65" w:rsidP="004E7F65">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 xml:space="preserve">ANNEXE N°1 A L'ACTE D'ENGAGEMENT : DECOMPOSITION </w:t>
      </w:r>
    </w:p>
    <w:p w14:paraId="50BF4DEF" w14:textId="77777777" w:rsidR="004E7F65" w:rsidRPr="004E7F65" w:rsidRDefault="004E7F65" w:rsidP="00B41A8E">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DU PRIX GLOBAL ET FORFAITAIRE</w:t>
      </w:r>
    </w:p>
    <w:p w14:paraId="561DB30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4C69C7EB" w14:textId="77777777" w:rsidR="004E7F65" w:rsidRPr="004E7F65" w:rsidRDefault="004E7F65" w:rsidP="00B41A8E">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aps/>
          <w:color w:val="000000"/>
          <w:sz w:val="20"/>
          <w:szCs w:val="20"/>
          <w:shd w:val="clear" w:color="auto" w:fill="FFFFFF"/>
          <w:lang w:eastAsia="fr-FR"/>
        </w:rPr>
        <w:t>PRESTATIONS DE MAINTENANCE / CONDUITE DES INSTALLATIONS ÉLECTRIQUES ET DE PETITS TRAVAUX D’ÉLECTRICITÉ SUR LE SITE DE PARIS DES ARCHIVES NATIONALES</w:t>
      </w:r>
    </w:p>
    <w:p w14:paraId="11275AF1"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26051D">
        <w:rPr>
          <w:rFonts w:ascii="Georgia" w:eastAsia="Times New Roman" w:hAnsi="Georgia" w:cs="Times New Roman"/>
          <w:b/>
          <w:bCs/>
          <w:color w:val="000000"/>
          <w:sz w:val="20"/>
          <w:szCs w:val="20"/>
          <w:highlight w:val="green"/>
          <w:u w:val="single"/>
          <w:lang w:eastAsia="fr-FR"/>
        </w:rPr>
        <w:t>Personne publique et pouvoir adjudicateur</w:t>
      </w:r>
      <w:r w:rsidRPr="0026051D">
        <w:rPr>
          <w:rFonts w:ascii="Georgia" w:eastAsia="Times New Roman" w:hAnsi="Georgia" w:cs="Times New Roman"/>
          <w:b/>
          <w:bCs/>
          <w:color w:val="000000"/>
          <w:sz w:val="20"/>
          <w:szCs w:val="20"/>
          <w:highlight w:val="green"/>
          <w:lang w:eastAsia="fr-FR"/>
        </w:rPr>
        <w:t> :</w:t>
      </w:r>
    </w:p>
    <w:p w14:paraId="2DD8777D"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Service à compétence nationale Archives nationales</w:t>
      </w:r>
    </w:p>
    <w:p w14:paraId="646CC921"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59, rue Guynemer</w:t>
      </w:r>
    </w:p>
    <w:p w14:paraId="3C6CE535"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90001</w:t>
      </w:r>
    </w:p>
    <w:p w14:paraId="38A20383"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93383 PIERREFITTE-SUR-SEINE CEDEX</w:t>
      </w:r>
    </w:p>
    <w:p w14:paraId="3A6D8997" w14:textId="77777777" w:rsidR="004E7F65" w:rsidRPr="004E7F65" w:rsidRDefault="004E7F65" w:rsidP="004E7F65">
      <w:pPr>
        <w:shd w:val="clear" w:color="auto" w:fill="C0C0C0"/>
        <w:spacing w:before="119"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u w:val="single"/>
          <w:shd w:val="clear" w:color="auto" w:fill="B2B2B2"/>
          <w:lang w:eastAsia="fr-FR"/>
        </w:rPr>
        <w:t>Représentant du pouvoir adjudicateur et ordonnateur</w:t>
      </w:r>
      <w:r w:rsidRPr="004E7F65">
        <w:rPr>
          <w:rFonts w:ascii="Georgia" w:eastAsia="Times New Roman" w:hAnsi="Georgia" w:cs="Times New Roman"/>
          <w:b/>
          <w:bCs/>
          <w:color w:val="000000"/>
          <w:sz w:val="20"/>
          <w:szCs w:val="20"/>
          <w:shd w:val="clear" w:color="auto" w:fill="B2B2B2"/>
          <w:lang w:eastAsia="fr-FR"/>
        </w:rPr>
        <w:t> :</w:t>
      </w:r>
    </w:p>
    <w:p w14:paraId="4DB57DE1" w14:textId="77777777" w:rsidR="00E178BD" w:rsidRPr="00805572" w:rsidRDefault="00E178BD" w:rsidP="00E178BD">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M</w:t>
      </w:r>
      <w:r>
        <w:rPr>
          <w:rFonts w:ascii="Georgia" w:eastAsia="Times New Roman" w:hAnsi="Georgia" w:cs="Times New Roman"/>
          <w:b/>
          <w:bCs/>
          <w:color w:val="000000"/>
          <w:sz w:val="20"/>
          <w:szCs w:val="20"/>
          <w:lang w:eastAsia="fr-FR"/>
        </w:rPr>
        <w:t>adame</w:t>
      </w:r>
      <w:r w:rsidRPr="00805572">
        <w:rPr>
          <w:rFonts w:ascii="Georgia" w:eastAsia="Times New Roman" w:hAnsi="Georgia" w:cs="Times New Roman"/>
          <w:b/>
          <w:bCs/>
          <w:color w:val="000000"/>
          <w:sz w:val="20"/>
          <w:szCs w:val="20"/>
          <w:lang w:eastAsia="fr-FR"/>
        </w:rPr>
        <w:t xml:space="preserve"> l</w:t>
      </w:r>
      <w:r>
        <w:rPr>
          <w:rFonts w:ascii="Georgia" w:eastAsia="Times New Roman" w:hAnsi="Georgia" w:cs="Times New Roman"/>
          <w:b/>
          <w:bCs/>
          <w:color w:val="000000"/>
          <w:sz w:val="20"/>
          <w:szCs w:val="20"/>
          <w:lang w:eastAsia="fr-FR"/>
        </w:rPr>
        <w:t>a</w:t>
      </w:r>
      <w:r w:rsidRPr="00805572">
        <w:rPr>
          <w:rFonts w:ascii="Georgia" w:eastAsia="Times New Roman" w:hAnsi="Georgia" w:cs="Times New Roman"/>
          <w:b/>
          <w:bCs/>
          <w:color w:val="000000"/>
          <w:sz w:val="20"/>
          <w:szCs w:val="20"/>
          <w:lang w:eastAsia="fr-FR"/>
        </w:rPr>
        <w:t xml:space="preserve"> Direc</w:t>
      </w:r>
      <w:r>
        <w:rPr>
          <w:rFonts w:ascii="Georgia" w:eastAsia="Times New Roman" w:hAnsi="Georgia" w:cs="Times New Roman"/>
          <w:b/>
          <w:bCs/>
          <w:color w:val="000000"/>
          <w:sz w:val="20"/>
          <w:szCs w:val="20"/>
          <w:lang w:eastAsia="fr-FR"/>
        </w:rPr>
        <w:t>trice</w:t>
      </w:r>
      <w:r w:rsidRPr="00805572">
        <w:rPr>
          <w:rFonts w:ascii="Georgia" w:eastAsia="Times New Roman" w:hAnsi="Georgia" w:cs="Times New Roman"/>
          <w:b/>
          <w:bCs/>
          <w:color w:val="000000"/>
          <w:sz w:val="20"/>
          <w:szCs w:val="20"/>
          <w:lang w:eastAsia="fr-FR"/>
        </w:rPr>
        <w:t xml:space="preserve"> des Archives nationales</w:t>
      </w:r>
    </w:p>
    <w:p w14:paraId="2C94EC25"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Helvetica"/>
          <w:b/>
          <w:bCs/>
          <w:color w:val="000000"/>
          <w:sz w:val="20"/>
          <w:szCs w:val="20"/>
          <w:u w:val="single"/>
          <w:shd w:val="clear" w:color="auto" w:fill="B2B2B2"/>
          <w:lang w:eastAsia="fr-FR"/>
        </w:rPr>
        <w:t>Personne habilitée à donner les renseignements prévus à l'article 130 du décret n°2016-360 du 25 mars 2016 relatif aux marchés publics</w:t>
      </w:r>
      <w:r w:rsidRPr="004E7F65">
        <w:rPr>
          <w:rFonts w:ascii="Georgia" w:eastAsia="Times New Roman" w:hAnsi="Georgia" w:cs="Helvetica"/>
          <w:b/>
          <w:bCs/>
          <w:color w:val="000000"/>
          <w:sz w:val="20"/>
          <w:szCs w:val="20"/>
          <w:shd w:val="clear" w:color="auto" w:fill="B2B2B2"/>
          <w:lang w:eastAsia="fr-FR"/>
        </w:rPr>
        <w:t> :</w:t>
      </w:r>
    </w:p>
    <w:p w14:paraId="40439BE7" w14:textId="77777777" w:rsidR="00E178BD" w:rsidRPr="00805572" w:rsidRDefault="00E178BD" w:rsidP="00E178BD">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M</w:t>
      </w:r>
      <w:r>
        <w:rPr>
          <w:rFonts w:ascii="Georgia" w:eastAsia="Times New Roman" w:hAnsi="Georgia" w:cs="Times New Roman"/>
          <w:b/>
          <w:bCs/>
          <w:color w:val="000000"/>
          <w:sz w:val="20"/>
          <w:szCs w:val="20"/>
          <w:lang w:eastAsia="fr-FR"/>
        </w:rPr>
        <w:t>adame</w:t>
      </w:r>
      <w:r w:rsidRPr="00805572">
        <w:rPr>
          <w:rFonts w:ascii="Georgia" w:eastAsia="Times New Roman" w:hAnsi="Georgia" w:cs="Times New Roman"/>
          <w:b/>
          <w:bCs/>
          <w:color w:val="000000"/>
          <w:sz w:val="20"/>
          <w:szCs w:val="20"/>
          <w:lang w:eastAsia="fr-FR"/>
        </w:rPr>
        <w:t xml:space="preserve"> l</w:t>
      </w:r>
      <w:r>
        <w:rPr>
          <w:rFonts w:ascii="Georgia" w:eastAsia="Times New Roman" w:hAnsi="Georgia" w:cs="Times New Roman"/>
          <w:b/>
          <w:bCs/>
          <w:color w:val="000000"/>
          <w:sz w:val="20"/>
          <w:szCs w:val="20"/>
          <w:lang w:eastAsia="fr-FR"/>
        </w:rPr>
        <w:t>a</w:t>
      </w:r>
      <w:r w:rsidRPr="00805572">
        <w:rPr>
          <w:rFonts w:ascii="Georgia" w:eastAsia="Times New Roman" w:hAnsi="Georgia" w:cs="Times New Roman"/>
          <w:b/>
          <w:bCs/>
          <w:color w:val="000000"/>
          <w:sz w:val="20"/>
          <w:szCs w:val="20"/>
          <w:lang w:eastAsia="fr-FR"/>
        </w:rPr>
        <w:t xml:space="preserve"> Direc</w:t>
      </w:r>
      <w:r>
        <w:rPr>
          <w:rFonts w:ascii="Georgia" w:eastAsia="Times New Roman" w:hAnsi="Georgia" w:cs="Times New Roman"/>
          <w:b/>
          <w:bCs/>
          <w:color w:val="000000"/>
          <w:sz w:val="20"/>
          <w:szCs w:val="20"/>
          <w:lang w:eastAsia="fr-FR"/>
        </w:rPr>
        <w:t>trice</w:t>
      </w:r>
      <w:r w:rsidRPr="00805572">
        <w:rPr>
          <w:rFonts w:ascii="Georgia" w:eastAsia="Times New Roman" w:hAnsi="Georgia" w:cs="Times New Roman"/>
          <w:b/>
          <w:bCs/>
          <w:color w:val="000000"/>
          <w:sz w:val="20"/>
          <w:szCs w:val="20"/>
          <w:lang w:eastAsia="fr-FR"/>
        </w:rPr>
        <w:t xml:space="preserve"> des Archives nationales</w:t>
      </w:r>
    </w:p>
    <w:p w14:paraId="304FD6F6"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Helvetica"/>
          <w:b/>
          <w:bCs/>
          <w:color w:val="000000"/>
          <w:sz w:val="20"/>
          <w:szCs w:val="20"/>
          <w:u w:val="single"/>
          <w:shd w:val="clear" w:color="auto" w:fill="B2B2B2"/>
          <w:lang w:eastAsia="fr-FR"/>
        </w:rPr>
        <w:t>Comptable assignataire des paiements</w:t>
      </w:r>
      <w:r w:rsidRPr="004E7F65">
        <w:rPr>
          <w:rFonts w:ascii="Georgia" w:eastAsia="Times New Roman" w:hAnsi="Georgia" w:cs="Helvetica"/>
          <w:b/>
          <w:bCs/>
          <w:color w:val="000000"/>
          <w:sz w:val="20"/>
          <w:szCs w:val="20"/>
          <w:shd w:val="clear" w:color="auto" w:fill="B2B2B2"/>
          <w:lang w:eastAsia="fr-FR"/>
        </w:rPr>
        <w:t> :</w:t>
      </w:r>
    </w:p>
    <w:p w14:paraId="01F675E2"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B2B2B2"/>
          <w:lang w:eastAsia="fr-FR"/>
        </w:rPr>
        <w:t>Le chef du département comptable ministériel</w:t>
      </w:r>
    </w:p>
    <w:p w14:paraId="671522C2" w14:textId="77777777" w:rsidR="004E7F65" w:rsidRPr="004E7F65" w:rsidRDefault="004E7F65" w:rsidP="004E7F65">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Helvetica"/>
          <w:b/>
          <w:bCs/>
          <w:color w:val="000000"/>
          <w:sz w:val="20"/>
          <w:szCs w:val="20"/>
          <w:u w:val="single"/>
          <w:shd w:val="clear" w:color="auto" w:fill="B2B2B2"/>
          <w:lang w:eastAsia="fr-FR"/>
        </w:rPr>
        <w:t>Mode de consultation</w:t>
      </w:r>
      <w:r w:rsidRPr="004E7F65">
        <w:rPr>
          <w:rFonts w:ascii="Georgia" w:eastAsia="Times New Roman" w:hAnsi="Georgia" w:cs="Helvetica"/>
          <w:b/>
          <w:bCs/>
          <w:color w:val="000000"/>
          <w:sz w:val="20"/>
          <w:szCs w:val="20"/>
          <w:shd w:val="clear" w:color="auto" w:fill="B2B2B2"/>
          <w:lang w:eastAsia="fr-FR"/>
        </w:rPr>
        <w:t> :</w:t>
      </w:r>
    </w:p>
    <w:p w14:paraId="30E36D82" w14:textId="77777777" w:rsidR="004E7F65" w:rsidRPr="004E7F65" w:rsidRDefault="004E7F65" w:rsidP="004F156D">
      <w:pPr>
        <w:shd w:val="clear" w:color="auto" w:fill="C0C0C0"/>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B2B2B2"/>
          <w:lang w:eastAsia="fr-FR"/>
        </w:rPr>
        <w:t xml:space="preserve">Appel d'offres ouvert passé en application de l’article 42 de l’ordonnance n°2015-899 du 23 juillet 2015 relative aux marchés publics et des articles 25 et 66 à 68 du décret n°2016-360 du 25 mars 2016 relatif aux marchés publics </w:t>
      </w:r>
    </w:p>
    <w:p w14:paraId="1FECD67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bl>
      <w:tblPr>
        <w:tblW w:w="5000" w:type="pct"/>
        <w:tblCellSpacing w:w="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0" w:type="dxa"/>
          <w:right w:w="0" w:type="dxa"/>
        </w:tblCellMar>
        <w:tblLook w:val="04A0" w:firstRow="1" w:lastRow="0" w:firstColumn="1" w:lastColumn="0" w:noHBand="0" w:noVBand="1"/>
      </w:tblPr>
      <w:tblGrid>
        <w:gridCol w:w="1088"/>
        <w:gridCol w:w="4893"/>
        <w:gridCol w:w="1178"/>
        <w:gridCol w:w="1903"/>
      </w:tblGrid>
      <w:tr w:rsidR="004E7F65" w:rsidRPr="00821E8D" w14:paraId="75428336" w14:textId="77777777" w:rsidTr="00821E8D">
        <w:trPr>
          <w:trHeight w:val="630"/>
          <w:tblCellSpacing w:w="0" w:type="dxa"/>
        </w:trPr>
        <w:tc>
          <w:tcPr>
            <w:tcW w:w="600" w:type="pct"/>
            <w:shd w:val="clear" w:color="auto" w:fill="C0C0C0"/>
            <w:vAlign w:val="center"/>
            <w:hideMark/>
          </w:tcPr>
          <w:p w14:paraId="5BEC5C95" w14:textId="77777777" w:rsidR="004E7F65" w:rsidRPr="00821E8D" w:rsidRDefault="004E7F65" w:rsidP="00821E8D">
            <w:r w:rsidRPr="00821E8D">
              <w:t>Articles du CCTP</w:t>
            </w:r>
          </w:p>
        </w:tc>
        <w:tc>
          <w:tcPr>
            <w:tcW w:w="2700" w:type="pct"/>
            <w:shd w:val="clear" w:color="auto" w:fill="C0C0C0"/>
            <w:vAlign w:val="center"/>
            <w:hideMark/>
          </w:tcPr>
          <w:p w14:paraId="15A8B9AA" w14:textId="77777777" w:rsidR="004E7F65" w:rsidRPr="00821E8D" w:rsidRDefault="004E7F65" w:rsidP="00821E8D">
            <w:r w:rsidRPr="00821E8D">
              <w:t>Description</w:t>
            </w:r>
          </w:p>
        </w:tc>
        <w:tc>
          <w:tcPr>
            <w:tcW w:w="650" w:type="pct"/>
            <w:shd w:val="clear" w:color="auto" w:fill="C0C0C0"/>
            <w:vAlign w:val="center"/>
            <w:hideMark/>
          </w:tcPr>
          <w:p w14:paraId="04E77A11" w14:textId="77777777" w:rsidR="004E7F65" w:rsidRPr="00821E8D" w:rsidRDefault="004E7F65" w:rsidP="00821E8D">
            <w:r w:rsidRPr="00821E8D">
              <w:t>Unité de chiffrage</w:t>
            </w:r>
          </w:p>
        </w:tc>
        <w:tc>
          <w:tcPr>
            <w:tcW w:w="1050" w:type="pct"/>
            <w:shd w:val="clear" w:color="auto" w:fill="C0C0C0"/>
            <w:vAlign w:val="center"/>
            <w:hideMark/>
          </w:tcPr>
          <w:p w14:paraId="3F428058" w14:textId="77777777" w:rsidR="004E7F65" w:rsidRPr="00821E8D" w:rsidRDefault="004E7F65" w:rsidP="00821E8D">
            <w:r w:rsidRPr="00821E8D">
              <w:t>Montant annuel HT</w:t>
            </w:r>
          </w:p>
        </w:tc>
      </w:tr>
      <w:tr w:rsidR="004E7F65" w:rsidRPr="00821E8D" w14:paraId="6E9D4871" w14:textId="77777777" w:rsidTr="00821E8D">
        <w:trPr>
          <w:trHeight w:val="885"/>
          <w:tblCellSpacing w:w="0" w:type="dxa"/>
        </w:trPr>
        <w:tc>
          <w:tcPr>
            <w:tcW w:w="600" w:type="pct"/>
            <w:shd w:val="clear" w:color="auto" w:fill="auto"/>
            <w:vAlign w:val="center"/>
            <w:hideMark/>
          </w:tcPr>
          <w:p w14:paraId="13B0A741" w14:textId="77777777" w:rsidR="004E7F65" w:rsidRPr="00821E8D" w:rsidRDefault="004E7F65" w:rsidP="00821E8D">
            <w:r w:rsidRPr="00821E8D">
              <w:t>1.3.1.a</w:t>
            </w:r>
          </w:p>
          <w:p w14:paraId="7B0D2D2B" w14:textId="77777777" w:rsidR="004E7F65" w:rsidRPr="00821E8D" w:rsidRDefault="004E7F65" w:rsidP="00821E8D">
            <w:r w:rsidRPr="00821E8D">
              <w:t>2.5.1</w:t>
            </w:r>
          </w:p>
        </w:tc>
        <w:tc>
          <w:tcPr>
            <w:tcW w:w="2700" w:type="pct"/>
            <w:shd w:val="clear" w:color="auto" w:fill="auto"/>
            <w:vAlign w:val="center"/>
            <w:hideMark/>
          </w:tcPr>
          <w:p w14:paraId="438AD28B" w14:textId="77777777" w:rsidR="004E7F65" w:rsidRPr="00821E8D" w:rsidRDefault="004E7F65" w:rsidP="00821E8D">
            <w:r w:rsidRPr="00821E8D">
              <w:t>Présence d'un personnel qualifié</w:t>
            </w:r>
          </w:p>
          <w:p w14:paraId="3FBBE527" w14:textId="77777777" w:rsidR="004E7F65" w:rsidRPr="00821E8D" w:rsidRDefault="004E7F65" w:rsidP="00821E8D">
            <w:r w:rsidRPr="00821E8D">
              <w:t>6 jours/7 (lundi à samedi hors jours fériés et hors 3 semaines de fermeture programmée)</w:t>
            </w:r>
          </w:p>
          <w:p w14:paraId="2652EE06" w14:textId="77777777" w:rsidR="004E7F65" w:rsidRPr="00821E8D" w:rsidRDefault="004E7F65" w:rsidP="00821E8D">
            <w:r w:rsidRPr="00821E8D">
              <w:t>8 heures/jour (8h45 à 16h45).</w:t>
            </w:r>
          </w:p>
        </w:tc>
        <w:tc>
          <w:tcPr>
            <w:tcW w:w="650" w:type="pct"/>
            <w:shd w:val="clear" w:color="auto" w:fill="auto"/>
            <w:vAlign w:val="center"/>
            <w:hideMark/>
          </w:tcPr>
          <w:p w14:paraId="56822263"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596E115F" w14:textId="77777777" w:rsidR="004E7F65" w:rsidRPr="00821E8D" w:rsidRDefault="004E7F65" w:rsidP="00821E8D"/>
        </w:tc>
      </w:tr>
      <w:tr w:rsidR="004E7F65" w:rsidRPr="00821E8D" w14:paraId="34715526" w14:textId="77777777" w:rsidTr="00821E8D">
        <w:trPr>
          <w:tblCellSpacing w:w="0" w:type="dxa"/>
        </w:trPr>
        <w:tc>
          <w:tcPr>
            <w:tcW w:w="600" w:type="pct"/>
            <w:vMerge w:val="restart"/>
            <w:shd w:val="clear" w:color="auto" w:fill="auto"/>
            <w:vAlign w:val="center"/>
            <w:hideMark/>
          </w:tcPr>
          <w:p w14:paraId="22F11C93" w14:textId="77777777" w:rsidR="004E7F65" w:rsidRPr="00821E8D" w:rsidRDefault="004E7F65" w:rsidP="00821E8D">
            <w:r w:rsidRPr="00821E8D">
              <w:t>1.3.1.b</w:t>
            </w:r>
          </w:p>
          <w:p w14:paraId="16E20141" w14:textId="77777777" w:rsidR="004E7F65" w:rsidRPr="00821E8D" w:rsidRDefault="004E7F65" w:rsidP="00821E8D">
            <w:r w:rsidRPr="00821E8D">
              <w:t>2.1.5</w:t>
            </w:r>
          </w:p>
        </w:tc>
        <w:tc>
          <w:tcPr>
            <w:tcW w:w="2700" w:type="pct"/>
            <w:shd w:val="clear" w:color="auto" w:fill="auto"/>
            <w:vAlign w:val="center"/>
            <w:hideMark/>
          </w:tcPr>
          <w:p w14:paraId="7756E9E2" w14:textId="77777777" w:rsidR="004E7F65" w:rsidRPr="00821E8D" w:rsidRDefault="004E7F65" w:rsidP="00821E8D">
            <w:r w:rsidRPr="00821E8D">
              <w:t>Astreinte Basse tension du lundi au samedi hors temps de présence du personnel qualifié sur site et le dimanche 24heures/24.</w:t>
            </w:r>
          </w:p>
        </w:tc>
        <w:tc>
          <w:tcPr>
            <w:tcW w:w="650" w:type="pct"/>
            <w:shd w:val="clear" w:color="auto" w:fill="auto"/>
            <w:vAlign w:val="center"/>
            <w:hideMark/>
          </w:tcPr>
          <w:p w14:paraId="5C578A0C"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2557CD72" w14:textId="77777777" w:rsidR="004E7F65" w:rsidRPr="00821E8D" w:rsidRDefault="004E7F65" w:rsidP="00821E8D"/>
        </w:tc>
      </w:tr>
      <w:tr w:rsidR="004E7F65" w:rsidRPr="00821E8D" w14:paraId="4ECA43B0" w14:textId="77777777" w:rsidTr="00821E8D">
        <w:trPr>
          <w:tblCellSpacing w:w="0" w:type="dxa"/>
        </w:trPr>
        <w:tc>
          <w:tcPr>
            <w:tcW w:w="0" w:type="auto"/>
            <w:vMerge/>
            <w:shd w:val="clear" w:color="auto" w:fill="auto"/>
            <w:vAlign w:val="center"/>
            <w:hideMark/>
          </w:tcPr>
          <w:p w14:paraId="7ADC5843" w14:textId="77777777" w:rsidR="004E7F65" w:rsidRPr="00821E8D" w:rsidRDefault="004E7F65" w:rsidP="00821E8D"/>
        </w:tc>
        <w:tc>
          <w:tcPr>
            <w:tcW w:w="2700" w:type="pct"/>
            <w:shd w:val="clear" w:color="auto" w:fill="auto"/>
            <w:vAlign w:val="center"/>
            <w:hideMark/>
          </w:tcPr>
          <w:p w14:paraId="7232EACA" w14:textId="77777777" w:rsidR="004E7F65" w:rsidRPr="00821E8D" w:rsidRDefault="004E7F65" w:rsidP="00821E8D">
            <w:r w:rsidRPr="00821E8D">
              <w:t>Astreinte haute tension 7 jours/7 et 24 heures/24.</w:t>
            </w:r>
          </w:p>
        </w:tc>
        <w:tc>
          <w:tcPr>
            <w:tcW w:w="650" w:type="pct"/>
            <w:shd w:val="clear" w:color="auto" w:fill="auto"/>
            <w:vAlign w:val="center"/>
            <w:hideMark/>
          </w:tcPr>
          <w:p w14:paraId="26662951"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384BCB7D" w14:textId="77777777" w:rsidR="004E7F65" w:rsidRPr="00821E8D" w:rsidRDefault="004E7F65" w:rsidP="00821E8D"/>
        </w:tc>
      </w:tr>
      <w:tr w:rsidR="004E7F65" w:rsidRPr="00821E8D" w14:paraId="32B5460A" w14:textId="77777777" w:rsidTr="00821E8D">
        <w:trPr>
          <w:tblCellSpacing w:w="0" w:type="dxa"/>
        </w:trPr>
        <w:tc>
          <w:tcPr>
            <w:tcW w:w="600" w:type="pct"/>
            <w:vMerge w:val="restart"/>
            <w:shd w:val="clear" w:color="auto" w:fill="auto"/>
            <w:vAlign w:val="center"/>
            <w:hideMark/>
          </w:tcPr>
          <w:p w14:paraId="4093A981" w14:textId="77777777" w:rsidR="004E7F65" w:rsidRPr="00821E8D" w:rsidRDefault="004E7F65" w:rsidP="00821E8D">
            <w:r w:rsidRPr="00821E8D">
              <w:t>1.3.1.c</w:t>
            </w:r>
          </w:p>
          <w:p w14:paraId="7BDA8949" w14:textId="77777777" w:rsidR="004E7F65" w:rsidRPr="00821E8D" w:rsidRDefault="004E7F65" w:rsidP="00821E8D">
            <w:r w:rsidRPr="00821E8D">
              <w:t>1.3.1.e</w:t>
            </w:r>
          </w:p>
          <w:p w14:paraId="09D1A40B" w14:textId="77777777" w:rsidR="004E7F65" w:rsidRPr="00821E8D" w:rsidRDefault="004E7F65" w:rsidP="00821E8D">
            <w:r w:rsidRPr="00821E8D">
              <w:t>1.3.1.i</w:t>
            </w:r>
          </w:p>
          <w:p w14:paraId="4A8EEA79" w14:textId="77777777" w:rsidR="004E7F65" w:rsidRPr="00821E8D" w:rsidRDefault="004E7F65" w:rsidP="00821E8D">
            <w:r w:rsidRPr="00821E8D">
              <w:t>1.3.1.h</w:t>
            </w:r>
          </w:p>
          <w:p w14:paraId="574CDEDA" w14:textId="77777777" w:rsidR="004E7F65" w:rsidRPr="00821E8D" w:rsidRDefault="004E7F65" w:rsidP="00821E8D">
            <w:r w:rsidRPr="00821E8D">
              <w:t>1.3.1.m</w:t>
            </w:r>
          </w:p>
          <w:p w14:paraId="3B0E36B9" w14:textId="77777777" w:rsidR="004E7F65" w:rsidRPr="00821E8D" w:rsidRDefault="004E7F65" w:rsidP="00821E8D">
            <w:r w:rsidRPr="00821E8D">
              <w:t>1.3.1.n</w:t>
            </w:r>
          </w:p>
          <w:p w14:paraId="2B5635C5" w14:textId="77777777" w:rsidR="004E7F65" w:rsidRPr="00821E8D" w:rsidRDefault="004E7F65" w:rsidP="00821E8D">
            <w:r w:rsidRPr="00821E8D">
              <w:t>2.4</w:t>
            </w:r>
          </w:p>
          <w:p w14:paraId="255982E3" w14:textId="77777777" w:rsidR="004E7F65" w:rsidRPr="00821E8D" w:rsidRDefault="004E7F65" w:rsidP="00821E8D">
            <w:r w:rsidRPr="00821E8D">
              <w:t>2.5.2</w:t>
            </w:r>
          </w:p>
          <w:p w14:paraId="75FEFA68" w14:textId="77777777" w:rsidR="004E7F65" w:rsidRPr="00821E8D" w:rsidRDefault="004E7F65" w:rsidP="00821E8D">
            <w:r w:rsidRPr="00821E8D">
              <w:t>2.6</w:t>
            </w:r>
          </w:p>
          <w:p w14:paraId="51D94D9C" w14:textId="77777777" w:rsidR="004E7F65" w:rsidRPr="00821E8D" w:rsidRDefault="004E7F65" w:rsidP="00821E8D">
            <w:r w:rsidRPr="00821E8D">
              <w:t>2.7</w:t>
            </w:r>
          </w:p>
        </w:tc>
        <w:tc>
          <w:tcPr>
            <w:tcW w:w="4400" w:type="pct"/>
            <w:gridSpan w:val="3"/>
            <w:shd w:val="clear" w:color="auto" w:fill="C0C0C0"/>
            <w:vAlign w:val="center"/>
            <w:hideMark/>
          </w:tcPr>
          <w:p w14:paraId="18832DD2" w14:textId="77777777" w:rsidR="004E7F65" w:rsidRPr="00821E8D" w:rsidRDefault="004E7F65" w:rsidP="00821E8D">
            <w:r w:rsidRPr="00821E8D">
              <w:t>Main d’œuvre pour la maintenance (cf. annexes n°1 et n°2 du CCTP)</w:t>
            </w:r>
          </w:p>
          <w:p w14:paraId="7B818416" w14:textId="77777777" w:rsidR="004E7F65" w:rsidRPr="00821E8D" w:rsidRDefault="004E7F65" w:rsidP="00821E8D">
            <w:r w:rsidRPr="00821E8D">
              <w:t>Chiffrage de la partie forfaitaire des prestations à effectuer dans le marché public, suivant l’organisation retenue par le Titulaire selon que ces prestations entrent ou non dans la charge de travail de la personne qualifiée présente sur site (article 1.3.1.a du CCTP) ou de la nécessité de procéder aux coupures électriques nécessaires à la maintenance préventive hors présence du public dans les ERP.</w:t>
            </w:r>
          </w:p>
        </w:tc>
      </w:tr>
      <w:tr w:rsidR="00821E8D" w:rsidRPr="00821E8D" w14:paraId="661DD2E0" w14:textId="77777777" w:rsidTr="00821E8D">
        <w:trPr>
          <w:trHeight w:val="1991"/>
          <w:tblCellSpacing w:w="0" w:type="dxa"/>
        </w:trPr>
        <w:tc>
          <w:tcPr>
            <w:tcW w:w="0" w:type="auto"/>
            <w:vMerge/>
            <w:shd w:val="clear" w:color="auto" w:fill="auto"/>
            <w:vAlign w:val="center"/>
            <w:hideMark/>
          </w:tcPr>
          <w:p w14:paraId="6F4CC5D2" w14:textId="77777777" w:rsidR="00821E8D" w:rsidRPr="00821E8D" w:rsidRDefault="00821E8D" w:rsidP="00821E8D"/>
        </w:tc>
        <w:tc>
          <w:tcPr>
            <w:tcW w:w="2700" w:type="pct"/>
            <w:shd w:val="clear" w:color="auto" w:fill="auto"/>
            <w:vAlign w:val="center"/>
            <w:hideMark/>
          </w:tcPr>
          <w:p w14:paraId="6F4E0179" w14:textId="77777777" w:rsidR="00821E8D" w:rsidRPr="00821E8D" w:rsidRDefault="00821E8D" w:rsidP="00821E8D">
            <w:r w:rsidRPr="00821E8D">
              <w:t xml:space="preserve">Hors </w:t>
            </w:r>
            <w:proofErr w:type="spellStart"/>
            <w:r w:rsidRPr="00821E8D">
              <w:t>Caran</w:t>
            </w:r>
            <w:proofErr w:type="spellEnd"/>
          </w:p>
          <w:p w14:paraId="1E9B6649" w14:textId="77777777" w:rsidR="00821E8D" w:rsidRPr="00821E8D" w:rsidRDefault="00821E8D" w:rsidP="00821E8D">
            <w:r w:rsidRPr="00821E8D">
              <w:t>Poste de livraison HT, cellules de protection HT, disjoncteur HT, transformateur HT</w:t>
            </w:r>
          </w:p>
          <w:p w14:paraId="4AAFC494" w14:textId="77777777" w:rsidR="00821E8D" w:rsidRPr="00821E8D" w:rsidRDefault="00821E8D" w:rsidP="00821E8D">
            <w:proofErr w:type="gramStart"/>
            <w:r w:rsidRPr="00821E8D">
              <w:t>maintenance</w:t>
            </w:r>
            <w:proofErr w:type="gramEnd"/>
            <w:r w:rsidRPr="00821E8D">
              <w:t xml:space="preserve"> niveau 1 et 2 selon codification AFNOR</w:t>
            </w:r>
          </w:p>
          <w:p w14:paraId="5415353C" w14:textId="52079C32" w:rsidR="00821E8D" w:rsidRPr="00821E8D" w:rsidRDefault="00821E8D" w:rsidP="00821E8D">
            <w:r w:rsidRPr="00821E8D">
              <w:t>(</w:t>
            </w:r>
            <w:proofErr w:type="gramStart"/>
            <w:r w:rsidRPr="00821E8D">
              <w:t>annexe</w:t>
            </w:r>
            <w:proofErr w:type="gramEnd"/>
            <w:r w:rsidRPr="00821E8D">
              <w:t xml:space="preserve"> n°2 CCTP/I</w:t>
            </w:r>
            <w:r w:rsidR="002A687B">
              <w:t>a</w:t>
            </w:r>
            <w:r w:rsidRPr="00821E8D">
              <w:t>).</w:t>
            </w:r>
          </w:p>
        </w:tc>
        <w:tc>
          <w:tcPr>
            <w:tcW w:w="650" w:type="pct"/>
            <w:shd w:val="clear" w:color="auto" w:fill="auto"/>
            <w:vAlign w:val="center"/>
            <w:hideMark/>
          </w:tcPr>
          <w:p w14:paraId="4CA825F9" w14:textId="77777777" w:rsidR="00821E8D" w:rsidRPr="00821E8D" w:rsidRDefault="00821E8D" w:rsidP="00821E8D">
            <w:proofErr w:type="gramStart"/>
            <w:r w:rsidRPr="00821E8D">
              <w:t>ensemble</w:t>
            </w:r>
            <w:proofErr w:type="gramEnd"/>
          </w:p>
          <w:p w14:paraId="69C59FDD" w14:textId="77777777" w:rsidR="00821E8D" w:rsidRPr="00821E8D" w:rsidRDefault="00821E8D" w:rsidP="00821E8D"/>
        </w:tc>
        <w:tc>
          <w:tcPr>
            <w:tcW w:w="1050" w:type="pct"/>
            <w:shd w:val="clear" w:color="auto" w:fill="auto"/>
            <w:vAlign w:val="center"/>
            <w:hideMark/>
          </w:tcPr>
          <w:p w14:paraId="5D92DC64" w14:textId="77777777" w:rsidR="00821E8D" w:rsidRPr="00821E8D" w:rsidRDefault="00821E8D" w:rsidP="00821E8D"/>
        </w:tc>
      </w:tr>
      <w:tr w:rsidR="004E7F65" w:rsidRPr="00821E8D" w14:paraId="02356E05" w14:textId="77777777" w:rsidTr="00821E8D">
        <w:trPr>
          <w:tblCellSpacing w:w="0" w:type="dxa"/>
        </w:trPr>
        <w:tc>
          <w:tcPr>
            <w:tcW w:w="0" w:type="auto"/>
            <w:vMerge/>
            <w:shd w:val="clear" w:color="auto" w:fill="auto"/>
            <w:vAlign w:val="center"/>
            <w:hideMark/>
          </w:tcPr>
          <w:p w14:paraId="50AC64AA" w14:textId="77777777" w:rsidR="004E7F65" w:rsidRPr="00821E8D" w:rsidRDefault="004E7F65" w:rsidP="00821E8D"/>
        </w:tc>
        <w:tc>
          <w:tcPr>
            <w:tcW w:w="2700" w:type="pct"/>
            <w:shd w:val="clear" w:color="auto" w:fill="auto"/>
            <w:vAlign w:val="center"/>
            <w:hideMark/>
          </w:tcPr>
          <w:p w14:paraId="009EABDF" w14:textId="77777777" w:rsidR="004E7F65" w:rsidRPr="00821E8D" w:rsidRDefault="004E7F65" w:rsidP="00821E8D">
            <w:r w:rsidRPr="00821E8D">
              <w:t xml:space="preserve">Hors </w:t>
            </w:r>
            <w:proofErr w:type="spellStart"/>
            <w:r w:rsidRPr="00821E8D">
              <w:t>Caran</w:t>
            </w:r>
            <w:proofErr w:type="spellEnd"/>
          </w:p>
          <w:p w14:paraId="623442E1" w14:textId="77777777" w:rsidR="004E7F65" w:rsidRPr="00821E8D" w:rsidRDefault="004E7F65" w:rsidP="00821E8D">
            <w:r w:rsidRPr="00821E8D">
              <w:t xml:space="preserve">Tableau général basse tension </w:t>
            </w:r>
          </w:p>
          <w:p w14:paraId="09F6ACC6" w14:textId="6195014D" w:rsidR="004E7F65" w:rsidRPr="00821E8D" w:rsidRDefault="004E7F65" w:rsidP="00821E8D">
            <w:r w:rsidRPr="00821E8D">
              <w:t>(</w:t>
            </w:r>
            <w:proofErr w:type="gramStart"/>
            <w:r w:rsidRPr="00821E8D">
              <w:t>annexe</w:t>
            </w:r>
            <w:proofErr w:type="gramEnd"/>
            <w:r w:rsidRPr="00821E8D">
              <w:t xml:space="preserve"> n°2 CCTP/</w:t>
            </w:r>
            <w:proofErr w:type="spellStart"/>
            <w:r w:rsidRPr="00821E8D">
              <w:t>I</w:t>
            </w:r>
            <w:r w:rsidR="002A687B">
              <w:t>b</w:t>
            </w:r>
            <w:proofErr w:type="spellEnd"/>
            <w:r w:rsidRPr="00821E8D">
              <w:t>)</w:t>
            </w:r>
          </w:p>
        </w:tc>
        <w:tc>
          <w:tcPr>
            <w:tcW w:w="650" w:type="pct"/>
            <w:vMerge w:val="restart"/>
            <w:shd w:val="clear" w:color="auto" w:fill="auto"/>
            <w:vAlign w:val="center"/>
            <w:hideMark/>
          </w:tcPr>
          <w:p w14:paraId="574EF09C" w14:textId="77777777" w:rsidR="004E7F65" w:rsidRPr="00821E8D" w:rsidRDefault="004E7F65" w:rsidP="00821E8D">
            <w:proofErr w:type="gramStart"/>
            <w:r w:rsidRPr="00821E8D">
              <w:t>ensemble</w:t>
            </w:r>
            <w:proofErr w:type="gramEnd"/>
          </w:p>
          <w:p w14:paraId="0A7171DC" w14:textId="77777777" w:rsidR="004E7F65" w:rsidRPr="00821E8D" w:rsidRDefault="004E7F65" w:rsidP="00821E8D"/>
        </w:tc>
        <w:tc>
          <w:tcPr>
            <w:tcW w:w="1050" w:type="pct"/>
            <w:vMerge w:val="restart"/>
            <w:shd w:val="clear" w:color="auto" w:fill="auto"/>
            <w:vAlign w:val="center"/>
            <w:hideMark/>
          </w:tcPr>
          <w:p w14:paraId="3D29A897" w14:textId="77777777" w:rsidR="004E7F65" w:rsidRPr="00821E8D" w:rsidRDefault="004E7F65" w:rsidP="00821E8D"/>
        </w:tc>
      </w:tr>
      <w:tr w:rsidR="004E7F65" w:rsidRPr="00821E8D" w14:paraId="6CA4AB83" w14:textId="77777777" w:rsidTr="00821E8D">
        <w:trPr>
          <w:tblCellSpacing w:w="0" w:type="dxa"/>
        </w:trPr>
        <w:tc>
          <w:tcPr>
            <w:tcW w:w="0" w:type="auto"/>
            <w:vMerge/>
            <w:shd w:val="clear" w:color="auto" w:fill="auto"/>
            <w:vAlign w:val="center"/>
            <w:hideMark/>
          </w:tcPr>
          <w:p w14:paraId="56CA5C07" w14:textId="77777777" w:rsidR="004E7F65" w:rsidRPr="00821E8D" w:rsidRDefault="004E7F65" w:rsidP="00821E8D"/>
        </w:tc>
        <w:tc>
          <w:tcPr>
            <w:tcW w:w="2700" w:type="pct"/>
            <w:shd w:val="clear" w:color="auto" w:fill="auto"/>
            <w:vAlign w:val="center"/>
            <w:hideMark/>
          </w:tcPr>
          <w:p w14:paraId="2C396AD0" w14:textId="77777777" w:rsidR="004E7F65" w:rsidRPr="00821E8D" w:rsidRDefault="004E7F65" w:rsidP="00821E8D">
            <w:proofErr w:type="spellStart"/>
            <w:r w:rsidRPr="00821E8D">
              <w:t>Caran</w:t>
            </w:r>
            <w:proofErr w:type="spellEnd"/>
          </w:p>
          <w:p w14:paraId="31C3781E" w14:textId="77777777" w:rsidR="004E7F65" w:rsidRPr="00821E8D" w:rsidRDefault="004E7F65" w:rsidP="00821E8D">
            <w:r w:rsidRPr="00821E8D">
              <w:t xml:space="preserve">Tableau général basse tension </w:t>
            </w:r>
          </w:p>
          <w:p w14:paraId="32E3E679" w14:textId="77777777" w:rsidR="004E7F65" w:rsidRPr="00821E8D" w:rsidRDefault="004E7F65" w:rsidP="00821E8D">
            <w:r w:rsidRPr="00821E8D">
              <w:t>(</w:t>
            </w:r>
            <w:proofErr w:type="gramStart"/>
            <w:r w:rsidRPr="00821E8D">
              <w:t>annexe</w:t>
            </w:r>
            <w:proofErr w:type="gramEnd"/>
            <w:r w:rsidRPr="00821E8D">
              <w:t xml:space="preserve"> n°2 CCTP/VI)</w:t>
            </w:r>
          </w:p>
        </w:tc>
        <w:tc>
          <w:tcPr>
            <w:tcW w:w="0" w:type="auto"/>
            <w:vMerge/>
            <w:shd w:val="clear" w:color="auto" w:fill="auto"/>
            <w:vAlign w:val="center"/>
            <w:hideMark/>
          </w:tcPr>
          <w:p w14:paraId="6C0D860C" w14:textId="77777777" w:rsidR="004E7F65" w:rsidRPr="00821E8D" w:rsidRDefault="004E7F65" w:rsidP="00821E8D"/>
        </w:tc>
        <w:tc>
          <w:tcPr>
            <w:tcW w:w="0" w:type="auto"/>
            <w:vMerge/>
            <w:shd w:val="clear" w:color="auto" w:fill="auto"/>
            <w:vAlign w:val="center"/>
            <w:hideMark/>
          </w:tcPr>
          <w:p w14:paraId="5DDC6F3F" w14:textId="77777777" w:rsidR="004E7F65" w:rsidRPr="00821E8D" w:rsidRDefault="004E7F65" w:rsidP="00821E8D"/>
        </w:tc>
      </w:tr>
      <w:tr w:rsidR="004E7F65" w:rsidRPr="00821E8D" w14:paraId="7B3F9182" w14:textId="77777777" w:rsidTr="00821E8D">
        <w:trPr>
          <w:tblCellSpacing w:w="0" w:type="dxa"/>
        </w:trPr>
        <w:tc>
          <w:tcPr>
            <w:tcW w:w="0" w:type="auto"/>
            <w:vMerge/>
            <w:shd w:val="clear" w:color="auto" w:fill="auto"/>
            <w:vAlign w:val="center"/>
            <w:hideMark/>
          </w:tcPr>
          <w:p w14:paraId="0454A273" w14:textId="77777777" w:rsidR="004E7F65" w:rsidRPr="00821E8D" w:rsidRDefault="004E7F65" w:rsidP="00821E8D"/>
        </w:tc>
        <w:tc>
          <w:tcPr>
            <w:tcW w:w="2700" w:type="pct"/>
            <w:shd w:val="clear" w:color="auto" w:fill="auto"/>
            <w:vAlign w:val="center"/>
            <w:hideMark/>
          </w:tcPr>
          <w:p w14:paraId="3DE8D1F2" w14:textId="77777777" w:rsidR="004E7F65" w:rsidRPr="00821E8D" w:rsidRDefault="004E7F65" w:rsidP="00821E8D">
            <w:r w:rsidRPr="00821E8D">
              <w:t xml:space="preserve">Hors </w:t>
            </w:r>
            <w:proofErr w:type="spellStart"/>
            <w:r w:rsidRPr="00821E8D">
              <w:t>Caran</w:t>
            </w:r>
            <w:proofErr w:type="spellEnd"/>
          </w:p>
          <w:p w14:paraId="27CB0549" w14:textId="77777777" w:rsidR="004E7F65" w:rsidRPr="00821E8D" w:rsidRDefault="004E7F65" w:rsidP="00821E8D">
            <w:r w:rsidRPr="00821E8D">
              <w:t xml:space="preserve">Armoires et tableaux électriques, principaux et divisionnaires </w:t>
            </w:r>
          </w:p>
          <w:p w14:paraId="3296893A" w14:textId="77777777" w:rsidR="004E7F65" w:rsidRPr="00821E8D" w:rsidRDefault="004E7F65" w:rsidP="00821E8D">
            <w:r w:rsidRPr="00821E8D">
              <w:t>(</w:t>
            </w:r>
            <w:proofErr w:type="gramStart"/>
            <w:r w:rsidRPr="00821E8D">
              <w:t>annexe</w:t>
            </w:r>
            <w:proofErr w:type="gramEnd"/>
            <w:r w:rsidRPr="00821E8D">
              <w:t xml:space="preserve"> n°2 CCTP/II)</w:t>
            </w:r>
          </w:p>
        </w:tc>
        <w:tc>
          <w:tcPr>
            <w:tcW w:w="650" w:type="pct"/>
            <w:vMerge w:val="restart"/>
            <w:shd w:val="clear" w:color="auto" w:fill="auto"/>
            <w:vAlign w:val="center"/>
            <w:hideMark/>
          </w:tcPr>
          <w:p w14:paraId="541B4964" w14:textId="77777777" w:rsidR="004E7F65" w:rsidRPr="00821E8D" w:rsidRDefault="004E7F65" w:rsidP="00821E8D">
            <w:proofErr w:type="gramStart"/>
            <w:r w:rsidRPr="00821E8D">
              <w:t>ensemble</w:t>
            </w:r>
            <w:proofErr w:type="gramEnd"/>
          </w:p>
          <w:p w14:paraId="35DB5A92" w14:textId="77777777" w:rsidR="004E7F65" w:rsidRPr="00821E8D" w:rsidRDefault="004E7F65" w:rsidP="00821E8D"/>
        </w:tc>
        <w:tc>
          <w:tcPr>
            <w:tcW w:w="1050" w:type="pct"/>
            <w:vMerge w:val="restart"/>
            <w:shd w:val="clear" w:color="auto" w:fill="auto"/>
            <w:vAlign w:val="center"/>
            <w:hideMark/>
          </w:tcPr>
          <w:p w14:paraId="3B2E5354" w14:textId="77777777" w:rsidR="004E7F65" w:rsidRPr="00821E8D" w:rsidRDefault="004E7F65" w:rsidP="00821E8D"/>
        </w:tc>
      </w:tr>
      <w:tr w:rsidR="004E7F65" w:rsidRPr="00821E8D" w14:paraId="65DF46A1" w14:textId="77777777" w:rsidTr="00821E8D">
        <w:trPr>
          <w:tblCellSpacing w:w="0" w:type="dxa"/>
        </w:trPr>
        <w:tc>
          <w:tcPr>
            <w:tcW w:w="0" w:type="auto"/>
            <w:vMerge/>
            <w:shd w:val="clear" w:color="auto" w:fill="auto"/>
            <w:vAlign w:val="center"/>
            <w:hideMark/>
          </w:tcPr>
          <w:p w14:paraId="50BE19D1" w14:textId="77777777" w:rsidR="004E7F65" w:rsidRPr="00821E8D" w:rsidRDefault="004E7F65" w:rsidP="00821E8D"/>
        </w:tc>
        <w:tc>
          <w:tcPr>
            <w:tcW w:w="2700" w:type="pct"/>
            <w:shd w:val="clear" w:color="auto" w:fill="auto"/>
            <w:vAlign w:val="center"/>
            <w:hideMark/>
          </w:tcPr>
          <w:p w14:paraId="27F14EDA" w14:textId="77777777" w:rsidR="004E7F65" w:rsidRPr="00821E8D" w:rsidRDefault="004E7F65" w:rsidP="00821E8D">
            <w:proofErr w:type="spellStart"/>
            <w:r w:rsidRPr="00821E8D">
              <w:t>Caran</w:t>
            </w:r>
            <w:proofErr w:type="spellEnd"/>
          </w:p>
          <w:p w14:paraId="6F6AD88F" w14:textId="77777777" w:rsidR="004E7F65" w:rsidRPr="00821E8D" w:rsidRDefault="004E7F65" w:rsidP="00821E8D">
            <w:r w:rsidRPr="00821E8D">
              <w:lastRenderedPageBreak/>
              <w:t>Tableaux électriques, principaux, divisionnaires, de commande</w:t>
            </w:r>
          </w:p>
          <w:p w14:paraId="7102DE35" w14:textId="77777777" w:rsidR="004E7F65" w:rsidRPr="00821E8D" w:rsidRDefault="004E7F65" w:rsidP="00821E8D">
            <w:r w:rsidRPr="00821E8D">
              <w:t>(</w:t>
            </w:r>
            <w:proofErr w:type="gramStart"/>
            <w:r w:rsidRPr="00821E8D">
              <w:t>annexe</w:t>
            </w:r>
            <w:proofErr w:type="gramEnd"/>
            <w:r w:rsidRPr="00821E8D">
              <w:t xml:space="preserve"> n°2 CCTP/VII)</w:t>
            </w:r>
          </w:p>
        </w:tc>
        <w:tc>
          <w:tcPr>
            <w:tcW w:w="0" w:type="auto"/>
            <w:vMerge/>
            <w:shd w:val="clear" w:color="auto" w:fill="auto"/>
            <w:vAlign w:val="center"/>
            <w:hideMark/>
          </w:tcPr>
          <w:p w14:paraId="161385A0" w14:textId="77777777" w:rsidR="004E7F65" w:rsidRPr="00821E8D" w:rsidRDefault="004E7F65" w:rsidP="00821E8D"/>
        </w:tc>
        <w:tc>
          <w:tcPr>
            <w:tcW w:w="0" w:type="auto"/>
            <w:vMerge/>
            <w:shd w:val="clear" w:color="auto" w:fill="auto"/>
            <w:vAlign w:val="center"/>
            <w:hideMark/>
          </w:tcPr>
          <w:p w14:paraId="05FA1409" w14:textId="77777777" w:rsidR="004E7F65" w:rsidRPr="00821E8D" w:rsidRDefault="004E7F65" w:rsidP="00821E8D"/>
        </w:tc>
      </w:tr>
      <w:tr w:rsidR="004E7F65" w:rsidRPr="00821E8D" w14:paraId="3A8BB417" w14:textId="77777777" w:rsidTr="00821E8D">
        <w:trPr>
          <w:trHeight w:val="1392"/>
          <w:tblCellSpacing w:w="0" w:type="dxa"/>
        </w:trPr>
        <w:tc>
          <w:tcPr>
            <w:tcW w:w="0" w:type="auto"/>
            <w:vMerge/>
            <w:shd w:val="clear" w:color="auto" w:fill="auto"/>
            <w:vAlign w:val="center"/>
            <w:hideMark/>
          </w:tcPr>
          <w:p w14:paraId="41A57285" w14:textId="77777777" w:rsidR="004E7F65" w:rsidRPr="00821E8D" w:rsidRDefault="004E7F65" w:rsidP="00821E8D"/>
        </w:tc>
        <w:tc>
          <w:tcPr>
            <w:tcW w:w="2700" w:type="pct"/>
            <w:shd w:val="clear" w:color="auto" w:fill="auto"/>
            <w:vAlign w:val="center"/>
            <w:hideMark/>
          </w:tcPr>
          <w:p w14:paraId="03271E9A" w14:textId="77777777" w:rsidR="004E7F65" w:rsidRPr="00821E8D" w:rsidRDefault="004E7F65" w:rsidP="00821E8D">
            <w:r w:rsidRPr="00821E8D">
              <w:t xml:space="preserve">Hors </w:t>
            </w:r>
            <w:proofErr w:type="spellStart"/>
            <w:r w:rsidRPr="00821E8D">
              <w:t>Caran</w:t>
            </w:r>
            <w:proofErr w:type="spellEnd"/>
          </w:p>
          <w:p w14:paraId="0ECDBBF6" w14:textId="77777777" w:rsidR="004E7F65" w:rsidRPr="00821E8D" w:rsidRDefault="004E7F65" w:rsidP="00821E8D">
            <w:r w:rsidRPr="00821E8D">
              <w:t>Bornes foraines escamotables</w:t>
            </w:r>
          </w:p>
          <w:p w14:paraId="05B080D3" w14:textId="77777777" w:rsidR="004E7F65" w:rsidRPr="00821E8D" w:rsidRDefault="004E7F65" w:rsidP="00821E8D">
            <w:r w:rsidRPr="00821E8D">
              <w:t>Grilles de dérivation</w:t>
            </w:r>
          </w:p>
          <w:p w14:paraId="5F4AC876" w14:textId="77777777" w:rsidR="004E7F65" w:rsidRPr="00821E8D" w:rsidRDefault="004E7F65" w:rsidP="00821E8D">
            <w:r w:rsidRPr="00821E8D">
              <w:t>(</w:t>
            </w:r>
            <w:proofErr w:type="gramStart"/>
            <w:r w:rsidRPr="00821E8D">
              <w:t>annexe</w:t>
            </w:r>
            <w:proofErr w:type="gramEnd"/>
            <w:r w:rsidRPr="00821E8D">
              <w:t xml:space="preserve"> n°2 CCTP/II)</w:t>
            </w:r>
          </w:p>
        </w:tc>
        <w:tc>
          <w:tcPr>
            <w:tcW w:w="650" w:type="pct"/>
            <w:shd w:val="clear" w:color="auto" w:fill="auto"/>
            <w:vAlign w:val="center"/>
            <w:hideMark/>
          </w:tcPr>
          <w:p w14:paraId="52F93E58"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3ED989E4" w14:textId="77777777" w:rsidR="004E7F65" w:rsidRPr="00821E8D" w:rsidRDefault="004E7F65" w:rsidP="00821E8D"/>
        </w:tc>
      </w:tr>
      <w:tr w:rsidR="004E7F65" w:rsidRPr="00821E8D" w14:paraId="712A3134" w14:textId="77777777" w:rsidTr="00821E8D">
        <w:trPr>
          <w:tblCellSpacing w:w="0" w:type="dxa"/>
        </w:trPr>
        <w:tc>
          <w:tcPr>
            <w:tcW w:w="0" w:type="auto"/>
            <w:vMerge/>
            <w:shd w:val="clear" w:color="auto" w:fill="auto"/>
            <w:vAlign w:val="center"/>
            <w:hideMark/>
          </w:tcPr>
          <w:p w14:paraId="1C889C0B" w14:textId="77777777" w:rsidR="004E7F65" w:rsidRPr="00821E8D" w:rsidRDefault="004E7F65" w:rsidP="00821E8D"/>
        </w:tc>
        <w:tc>
          <w:tcPr>
            <w:tcW w:w="2700" w:type="pct"/>
            <w:shd w:val="clear" w:color="auto" w:fill="auto"/>
            <w:vAlign w:val="center"/>
            <w:hideMark/>
          </w:tcPr>
          <w:p w14:paraId="3FD702A0" w14:textId="77777777" w:rsidR="004E7F65" w:rsidRPr="00821E8D" w:rsidRDefault="004E7F65" w:rsidP="00821E8D">
            <w:r w:rsidRPr="00821E8D">
              <w:t xml:space="preserve">ERP Soubise </w:t>
            </w:r>
          </w:p>
          <w:p w14:paraId="368C898B" w14:textId="77777777" w:rsidR="004E7F65" w:rsidRPr="00821E8D" w:rsidRDefault="004F156D" w:rsidP="00821E8D">
            <w:r w:rsidRPr="00821E8D">
              <w:t>Éclairage de sécurité (35</w:t>
            </w:r>
            <w:r w:rsidR="004E7F65" w:rsidRPr="00821E8D">
              <w:t xml:space="preserve"> BAES)</w:t>
            </w:r>
          </w:p>
          <w:p w14:paraId="48857608" w14:textId="77777777" w:rsidR="004E7F65" w:rsidRPr="00821E8D" w:rsidRDefault="004F156D" w:rsidP="00821E8D">
            <w:r w:rsidRPr="00821E8D">
              <w:t>ERP Rohan</w:t>
            </w:r>
          </w:p>
          <w:p w14:paraId="430DF742" w14:textId="77777777" w:rsidR="004E7F65" w:rsidRPr="00821E8D" w:rsidRDefault="004E7F65" w:rsidP="00821E8D">
            <w:r w:rsidRPr="00821E8D">
              <w:t>Éclairage de sécurité (15 BAES)</w:t>
            </w:r>
          </w:p>
          <w:p w14:paraId="09D37D77" w14:textId="77777777" w:rsidR="004E7F65" w:rsidRPr="00821E8D" w:rsidRDefault="004E7F65" w:rsidP="00821E8D">
            <w:r w:rsidRPr="00821E8D">
              <w:t>(</w:t>
            </w:r>
            <w:proofErr w:type="gramStart"/>
            <w:r w:rsidRPr="00821E8D">
              <w:t>annexe</w:t>
            </w:r>
            <w:proofErr w:type="gramEnd"/>
            <w:r w:rsidRPr="00821E8D">
              <w:t xml:space="preserve"> n°2 CCTP/IV)</w:t>
            </w:r>
          </w:p>
        </w:tc>
        <w:tc>
          <w:tcPr>
            <w:tcW w:w="650" w:type="pct"/>
            <w:shd w:val="clear" w:color="auto" w:fill="auto"/>
            <w:vAlign w:val="center"/>
            <w:hideMark/>
          </w:tcPr>
          <w:p w14:paraId="1180F395" w14:textId="77777777" w:rsidR="004E7F65" w:rsidRPr="00821E8D" w:rsidRDefault="004E7F65" w:rsidP="00821E8D">
            <w:proofErr w:type="gramStart"/>
            <w:r w:rsidRPr="00821E8D">
              <w:t>ensemble</w:t>
            </w:r>
            <w:proofErr w:type="gramEnd"/>
          </w:p>
          <w:p w14:paraId="1B0D5B32" w14:textId="77777777" w:rsidR="004E7F65" w:rsidRPr="00821E8D" w:rsidRDefault="004E7F65" w:rsidP="00821E8D"/>
        </w:tc>
        <w:tc>
          <w:tcPr>
            <w:tcW w:w="1050" w:type="pct"/>
            <w:shd w:val="clear" w:color="auto" w:fill="auto"/>
            <w:vAlign w:val="center"/>
            <w:hideMark/>
          </w:tcPr>
          <w:p w14:paraId="6A704C40" w14:textId="77777777" w:rsidR="004E7F65" w:rsidRPr="00821E8D" w:rsidRDefault="004E7F65" w:rsidP="00821E8D"/>
        </w:tc>
      </w:tr>
      <w:tr w:rsidR="004E7F65" w:rsidRPr="00821E8D" w14:paraId="0D9E9988" w14:textId="77777777" w:rsidTr="00821E8D">
        <w:trPr>
          <w:tblCellSpacing w:w="0" w:type="dxa"/>
        </w:trPr>
        <w:tc>
          <w:tcPr>
            <w:tcW w:w="0" w:type="auto"/>
            <w:vMerge/>
            <w:shd w:val="clear" w:color="auto" w:fill="auto"/>
            <w:vAlign w:val="center"/>
            <w:hideMark/>
          </w:tcPr>
          <w:p w14:paraId="7AAE7EB0" w14:textId="77777777" w:rsidR="004E7F65" w:rsidRPr="00821E8D" w:rsidRDefault="004E7F65" w:rsidP="00821E8D"/>
        </w:tc>
        <w:tc>
          <w:tcPr>
            <w:tcW w:w="2700" w:type="pct"/>
            <w:shd w:val="clear" w:color="auto" w:fill="auto"/>
            <w:vAlign w:val="center"/>
            <w:hideMark/>
          </w:tcPr>
          <w:p w14:paraId="133F2E3C" w14:textId="77777777" w:rsidR="004E7F65" w:rsidRPr="00821E8D" w:rsidRDefault="004E7F65" w:rsidP="00821E8D">
            <w:proofErr w:type="spellStart"/>
            <w:r w:rsidRPr="00821E8D">
              <w:t>Caran</w:t>
            </w:r>
            <w:proofErr w:type="spellEnd"/>
          </w:p>
          <w:p w14:paraId="79DD76DB" w14:textId="77777777" w:rsidR="004E7F65" w:rsidRPr="00821E8D" w:rsidRDefault="004E7F65" w:rsidP="00821E8D">
            <w:r w:rsidRPr="00821E8D">
              <w:t xml:space="preserve">Éclairage de </w:t>
            </w:r>
            <w:proofErr w:type="spellStart"/>
            <w:r w:rsidRPr="00821E8D">
              <w:t>securité</w:t>
            </w:r>
            <w:proofErr w:type="spellEnd"/>
          </w:p>
          <w:p w14:paraId="40259F34" w14:textId="77777777" w:rsidR="004E7F65" w:rsidRPr="00821E8D" w:rsidRDefault="004E7F65" w:rsidP="00821E8D">
            <w:r w:rsidRPr="00821E8D">
              <w:t>(</w:t>
            </w:r>
            <w:proofErr w:type="gramStart"/>
            <w:r w:rsidRPr="00821E8D">
              <w:t>annexe</w:t>
            </w:r>
            <w:proofErr w:type="gramEnd"/>
            <w:r w:rsidRPr="00821E8D">
              <w:t xml:space="preserve"> n°2 CCTP/VIII)</w:t>
            </w:r>
          </w:p>
        </w:tc>
        <w:tc>
          <w:tcPr>
            <w:tcW w:w="650" w:type="pct"/>
            <w:shd w:val="clear" w:color="auto" w:fill="auto"/>
            <w:vAlign w:val="center"/>
            <w:hideMark/>
          </w:tcPr>
          <w:p w14:paraId="7E595A3D"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44E7D9E2" w14:textId="77777777" w:rsidR="004E7F65" w:rsidRPr="00821E8D" w:rsidRDefault="004E7F65" w:rsidP="00821E8D"/>
        </w:tc>
      </w:tr>
      <w:tr w:rsidR="004E7F65" w:rsidRPr="00821E8D" w14:paraId="39399742" w14:textId="77777777" w:rsidTr="00821E8D">
        <w:trPr>
          <w:tblCellSpacing w:w="0" w:type="dxa"/>
        </w:trPr>
        <w:tc>
          <w:tcPr>
            <w:tcW w:w="0" w:type="auto"/>
            <w:vMerge/>
            <w:shd w:val="clear" w:color="auto" w:fill="auto"/>
            <w:vAlign w:val="center"/>
            <w:hideMark/>
          </w:tcPr>
          <w:p w14:paraId="1874B580" w14:textId="77777777" w:rsidR="004E7F65" w:rsidRPr="00821E8D" w:rsidRDefault="004E7F65" w:rsidP="00821E8D"/>
        </w:tc>
        <w:tc>
          <w:tcPr>
            <w:tcW w:w="2700" w:type="pct"/>
            <w:shd w:val="clear" w:color="auto" w:fill="auto"/>
            <w:vAlign w:val="center"/>
            <w:hideMark/>
          </w:tcPr>
          <w:p w14:paraId="5063A0BA" w14:textId="77777777" w:rsidR="004E7F65" w:rsidRPr="00821E8D" w:rsidRDefault="004E7F65" w:rsidP="00821E8D">
            <w:r w:rsidRPr="00821E8D">
              <w:t xml:space="preserve">Site hormis le bâtiment </w:t>
            </w:r>
            <w:proofErr w:type="spellStart"/>
            <w:r w:rsidRPr="00821E8D">
              <w:t>Caran</w:t>
            </w:r>
            <w:proofErr w:type="spellEnd"/>
          </w:p>
          <w:p w14:paraId="1919E660" w14:textId="77777777" w:rsidR="004E7F65" w:rsidRPr="00821E8D" w:rsidRDefault="004E7F65" w:rsidP="00821E8D">
            <w:r w:rsidRPr="00821E8D">
              <w:t xml:space="preserve">Éclairage de </w:t>
            </w:r>
            <w:proofErr w:type="spellStart"/>
            <w:r w:rsidRPr="00821E8D">
              <w:t>securité</w:t>
            </w:r>
            <w:proofErr w:type="spellEnd"/>
            <w:r w:rsidRPr="00821E8D">
              <w:t xml:space="preserve"> </w:t>
            </w:r>
          </w:p>
          <w:p w14:paraId="11A7AC72" w14:textId="77777777" w:rsidR="004E7F65" w:rsidRPr="00821E8D" w:rsidRDefault="004E7F65" w:rsidP="00821E8D">
            <w:r w:rsidRPr="00821E8D">
              <w:t>(</w:t>
            </w:r>
            <w:proofErr w:type="gramStart"/>
            <w:r w:rsidRPr="00821E8D">
              <w:t>annexe</w:t>
            </w:r>
            <w:proofErr w:type="gramEnd"/>
            <w:r w:rsidRPr="00821E8D">
              <w:t xml:space="preserve"> n°2 CCTP/IV)</w:t>
            </w:r>
          </w:p>
        </w:tc>
        <w:tc>
          <w:tcPr>
            <w:tcW w:w="650" w:type="pct"/>
            <w:shd w:val="clear" w:color="auto" w:fill="auto"/>
            <w:vAlign w:val="center"/>
            <w:hideMark/>
          </w:tcPr>
          <w:p w14:paraId="688F5466"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5DA5B5BA" w14:textId="77777777" w:rsidR="004E7F65" w:rsidRPr="00821E8D" w:rsidRDefault="004E7F65" w:rsidP="00821E8D"/>
        </w:tc>
      </w:tr>
      <w:tr w:rsidR="004E7F65" w:rsidRPr="00821E8D" w14:paraId="49865243" w14:textId="77777777" w:rsidTr="00821E8D">
        <w:trPr>
          <w:tblCellSpacing w:w="0" w:type="dxa"/>
        </w:trPr>
        <w:tc>
          <w:tcPr>
            <w:tcW w:w="0" w:type="auto"/>
            <w:vMerge/>
            <w:shd w:val="clear" w:color="auto" w:fill="auto"/>
            <w:vAlign w:val="center"/>
            <w:hideMark/>
          </w:tcPr>
          <w:p w14:paraId="716C8E06" w14:textId="77777777" w:rsidR="004E7F65" w:rsidRPr="00821E8D" w:rsidRDefault="004E7F65" w:rsidP="00821E8D"/>
        </w:tc>
        <w:tc>
          <w:tcPr>
            <w:tcW w:w="2700" w:type="pct"/>
            <w:shd w:val="clear" w:color="auto" w:fill="auto"/>
            <w:vAlign w:val="center"/>
            <w:hideMark/>
          </w:tcPr>
          <w:p w14:paraId="6C916E38" w14:textId="77777777" w:rsidR="004E7F65" w:rsidRPr="00821E8D" w:rsidRDefault="004E7F65" w:rsidP="00821E8D">
            <w:r w:rsidRPr="00821E8D">
              <w:t>Groupe électrogène</w:t>
            </w:r>
          </w:p>
          <w:p w14:paraId="223E45DE" w14:textId="77777777" w:rsidR="004E7F65" w:rsidRPr="00821E8D" w:rsidRDefault="004E7F65" w:rsidP="00821E8D">
            <w:r w:rsidRPr="00821E8D">
              <w:t>(</w:t>
            </w:r>
            <w:proofErr w:type="gramStart"/>
            <w:r w:rsidRPr="00821E8D">
              <w:t>annexe</w:t>
            </w:r>
            <w:proofErr w:type="gramEnd"/>
            <w:r w:rsidRPr="00821E8D">
              <w:t xml:space="preserve"> n°2 CCTP/III)</w:t>
            </w:r>
          </w:p>
        </w:tc>
        <w:tc>
          <w:tcPr>
            <w:tcW w:w="650" w:type="pct"/>
            <w:shd w:val="clear" w:color="auto" w:fill="auto"/>
            <w:vAlign w:val="center"/>
            <w:hideMark/>
          </w:tcPr>
          <w:p w14:paraId="4A0B224D"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282FB6D8" w14:textId="77777777" w:rsidR="004E7F65" w:rsidRPr="00821E8D" w:rsidRDefault="004E7F65" w:rsidP="00821E8D"/>
        </w:tc>
      </w:tr>
      <w:tr w:rsidR="00246022" w:rsidRPr="00821E8D" w14:paraId="48E38110" w14:textId="77777777" w:rsidTr="00821E8D">
        <w:trPr>
          <w:trHeight w:val="690"/>
          <w:tblCellSpacing w:w="0" w:type="dxa"/>
        </w:trPr>
        <w:tc>
          <w:tcPr>
            <w:tcW w:w="600" w:type="pct"/>
            <w:shd w:val="clear" w:color="auto" w:fill="auto"/>
            <w:vAlign w:val="center"/>
          </w:tcPr>
          <w:p w14:paraId="484DC6F4" w14:textId="5F0F2BC9" w:rsidR="00246022" w:rsidRPr="00821E8D" w:rsidRDefault="00246022" w:rsidP="00821E8D">
            <w:r w:rsidRPr="00821E8D">
              <w:t>1.3.1.t</w:t>
            </w:r>
          </w:p>
        </w:tc>
        <w:tc>
          <w:tcPr>
            <w:tcW w:w="2700" w:type="pct"/>
            <w:shd w:val="clear" w:color="auto" w:fill="auto"/>
            <w:vAlign w:val="center"/>
          </w:tcPr>
          <w:p w14:paraId="6AD65F85" w14:textId="429BFCDC" w:rsidR="00246022" w:rsidRPr="00821E8D" w:rsidRDefault="00246022" w:rsidP="00821E8D">
            <w:r w:rsidRPr="00821E8D">
              <w:t xml:space="preserve">Entretien </w:t>
            </w:r>
            <w:r w:rsidR="00B10BFC" w:rsidRPr="00821E8D">
              <w:t xml:space="preserve">onduleur </w:t>
            </w:r>
            <w:proofErr w:type="spellStart"/>
            <w:r w:rsidR="00B10BFC" w:rsidRPr="00821E8D">
              <w:t>Triphasé+N</w:t>
            </w:r>
            <w:proofErr w:type="spellEnd"/>
            <w:r w:rsidR="00B10BFC" w:rsidRPr="00821E8D">
              <w:t>, 410 Vac_ 20 kVA</w:t>
            </w:r>
          </w:p>
        </w:tc>
        <w:tc>
          <w:tcPr>
            <w:tcW w:w="650" w:type="pct"/>
            <w:shd w:val="clear" w:color="auto" w:fill="auto"/>
            <w:vAlign w:val="center"/>
          </w:tcPr>
          <w:p w14:paraId="3D1B6C33" w14:textId="70C2A8C0" w:rsidR="00246022" w:rsidRPr="00821E8D" w:rsidRDefault="00246022" w:rsidP="00821E8D">
            <w:proofErr w:type="gramStart"/>
            <w:r w:rsidRPr="00821E8D">
              <w:t>ensemble</w:t>
            </w:r>
            <w:proofErr w:type="gramEnd"/>
          </w:p>
        </w:tc>
        <w:tc>
          <w:tcPr>
            <w:tcW w:w="1050" w:type="pct"/>
            <w:shd w:val="clear" w:color="auto" w:fill="auto"/>
            <w:vAlign w:val="center"/>
          </w:tcPr>
          <w:p w14:paraId="6012B62B" w14:textId="77777777" w:rsidR="00246022" w:rsidRPr="00821E8D" w:rsidRDefault="00246022" w:rsidP="00821E8D"/>
        </w:tc>
      </w:tr>
      <w:tr w:rsidR="004E7F65" w:rsidRPr="00821E8D" w14:paraId="094182F0" w14:textId="77777777" w:rsidTr="00821E8D">
        <w:trPr>
          <w:trHeight w:val="690"/>
          <w:tblCellSpacing w:w="0" w:type="dxa"/>
        </w:trPr>
        <w:tc>
          <w:tcPr>
            <w:tcW w:w="600" w:type="pct"/>
            <w:shd w:val="clear" w:color="auto" w:fill="auto"/>
            <w:vAlign w:val="center"/>
            <w:hideMark/>
          </w:tcPr>
          <w:p w14:paraId="410EAD5B" w14:textId="77777777" w:rsidR="004E7F65" w:rsidRPr="00821E8D" w:rsidRDefault="004E7F65" w:rsidP="00821E8D"/>
        </w:tc>
        <w:tc>
          <w:tcPr>
            <w:tcW w:w="2700" w:type="pct"/>
            <w:shd w:val="clear" w:color="auto" w:fill="auto"/>
            <w:vAlign w:val="center"/>
            <w:hideMark/>
          </w:tcPr>
          <w:p w14:paraId="6B1D4DCE" w14:textId="77777777" w:rsidR="004E7F65" w:rsidRPr="00821E8D" w:rsidRDefault="004E7F65" w:rsidP="00821E8D">
            <w:r w:rsidRPr="00821E8D">
              <w:t>Remplacement des sources lumineuses et matériels (CARAN et hors CARAN)</w:t>
            </w:r>
          </w:p>
        </w:tc>
        <w:tc>
          <w:tcPr>
            <w:tcW w:w="650" w:type="pct"/>
            <w:shd w:val="clear" w:color="auto" w:fill="auto"/>
            <w:vAlign w:val="center"/>
            <w:hideMark/>
          </w:tcPr>
          <w:p w14:paraId="5E3EB831"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272D206B" w14:textId="77777777" w:rsidR="004E7F65" w:rsidRPr="00821E8D" w:rsidRDefault="004E7F65" w:rsidP="00821E8D"/>
        </w:tc>
      </w:tr>
      <w:tr w:rsidR="004E7F65" w:rsidRPr="00821E8D" w14:paraId="0079E9C4" w14:textId="77777777" w:rsidTr="00821E8D">
        <w:trPr>
          <w:trHeight w:val="435"/>
          <w:tblCellSpacing w:w="0" w:type="dxa"/>
        </w:trPr>
        <w:tc>
          <w:tcPr>
            <w:tcW w:w="600" w:type="pct"/>
            <w:shd w:val="clear" w:color="auto" w:fill="auto"/>
            <w:hideMark/>
          </w:tcPr>
          <w:p w14:paraId="3148F167" w14:textId="77777777" w:rsidR="004E7F65" w:rsidRPr="00821E8D" w:rsidRDefault="004E7F65" w:rsidP="00821E8D"/>
        </w:tc>
        <w:tc>
          <w:tcPr>
            <w:tcW w:w="4400" w:type="pct"/>
            <w:gridSpan w:val="3"/>
            <w:shd w:val="clear" w:color="auto" w:fill="CCCCCC"/>
            <w:vAlign w:val="center"/>
            <w:hideMark/>
          </w:tcPr>
          <w:p w14:paraId="5661C971" w14:textId="77777777" w:rsidR="004E7F65" w:rsidRPr="00821E8D" w:rsidRDefault="004E7F65" w:rsidP="00821E8D">
            <w:r w:rsidRPr="00821E8D">
              <w:t>Autres prestations</w:t>
            </w:r>
          </w:p>
        </w:tc>
      </w:tr>
      <w:tr w:rsidR="004E7F65" w:rsidRPr="00821E8D" w14:paraId="177EF5E3" w14:textId="77777777" w:rsidTr="00821E8D">
        <w:trPr>
          <w:trHeight w:val="585"/>
          <w:tblCellSpacing w:w="0" w:type="dxa"/>
        </w:trPr>
        <w:tc>
          <w:tcPr>
            <w:tcW w:w="600" w:type="pct"/>
            <w:shd w:val="clear" w:color="auto" w:fill="auto"/>
            <w:vAlign w:val="center"/>
            <w:hideMark/>
          </w:tcPr>
          <w:p w14:paraId="6009C564" w14:textId="77777777" w:rsidR="004E7F65" w:rsidRPr="00821E8D" w:rsidRDefault="004E7F65" w:rsidP="00821E8D">
            <w:r w:rsidRPr="00821E8D">
              <w:t>1.3.1.f</w:t>
            </w:r>
          </w:p>
          <w:p w14:paraId="71E66837" w14:textId="77777777" w:rsidR="004E7F65" w:rsidRPr="00821E8D" w:rsidRDefault="004E7F65" w:rsidP="00821E8D">
            <w:r w:rsidRPr="00821E8D">
              <w:t>2.3</w:t>
            </w:r>
          </w:p>
        </w:tc>
        <w:tc>
          <w:tcPr>
            <w:tcW w:w="2700" w:type="pct"/>
            <w:shd w:val="clear" w:color="auto" w:fill="auto"/>
            <w:vAlign w:val="center"/>
            <w:hideMark/>
          </w:tcPr>
          <w:p w14:paraId="2F38F7F3" w14:textId="77777777" w:rsidR="004E7F65" w:rsidRPr="00821E8D" w:rsidRDefault="004E7F65" w:rsidP="00821E8D">
            <w:r w:rsidRPr="00821E8D">
              <w:t>Consignations électriques</w:t>
            </w:r>
          </w:p>
        </w:tc>
        <w:tc>
          <w:tcPr>
            <w:tcW w:w="650" w:type="pct"/>
            <w:shd w:val="clear" w:color="auto" w:fill="FFFFFF"/>
            <w:vAlign w:val="center"/>
            <w:hideMark/>
          </w:tcPr>
          <w:p w14:paraId="378CE365" w14:textId="77777777" w:rsidR="004E7F65" w:rsidRPr="00821E8D" w:rsidRDefault="004E7F65" w:rsidP="00821E8D">
            <w:proofErr w:type="gramStart"/>
            <w:r w:rsidRPr="00821E8D">
              <w:t>ensemble</w:t>
            </w:r>
            <w:proofErr w:type="gramEnd"/>
          </w:p>
        </w:tc>
        <w:tc>
          <w:tcPr>
            <w:tcW w:w="1050" w:type="pct"/>
            <w:shd w:val="clear" w:color="auto" w:fill="FFFFFF"/>
            <w:vAlign w:val="center"/>
            <w:hideMark/>
          </w:tcPr>
          <w:p w14:paraId="32FC636C" w14:textId="77777777" w:rsidR="004E7F65" w:rsidRPr="00821E8D" w:rsidRDefault="004E7F65" w:rsidP="00821E8D"/>
        </w:tc>
      </w:tr>
      <w:tr w:rsidR="004E7F65" w:rsidRPr="00821E8D" w14:paraId="756EB54B" w14:textId="77777777" w:rsidTr="00821E8D">
        <w:trPr>
          <w:trHeight w:val="585"/>
          <w:tblCellSpacing w:w="0" w:type="dxa"/>
        </w:trPr>
        <w:tc>
          <w:tcPr>
            <w:tcW w:w="600" w:type="pct"/>
            <w:shd w:val="clear" w:color="auto" w:fill="auto"/>
            <w:vAlign w:val="center"/>
            <w:hideMark/>
          </w:tcPr>
          <w:p w14:paraId="7CABBC29" w14:textId="77777777" w:rsidR="004E7F65" w:rsidRPr="00821E8D" w:rsidRDefault="004E7F65" w:rsidP="00821E8D">
            <w:r w:rsidRPr="00821E8D">
              <w:t>1.3.1.g</w:t>
            </w:r>
          </w:p>
          <w:p w14:paraId="635E61A9" w14:textId="77777777" w:rsidR="004E7F65" w:rsidRPr="00821E8D" w:rsidRDefault="004E7F65" w:rsidP="00821E8D">
            <w:r w:rsidRPr="00821E8D">
              <w:t>1.7</w:t>
            </w:r>
          </w:p>
        </w:tc>
        <w:tc>
          <w:tcPr>
            <w:tcW w:w="2700" w:type="pct"/>
            <w:shd w:val="clear" w:color="auto" w:fill="auto"/>
            <w:vAlign w:val="center"/>
            <w:hideMark/>
          </w:tcPr>
          <w:p w14:paraId="36D57879" w14:textId="77777777" w:rsidR="004E7F65" w:rsidRPr="00821E8D" w:rsidRDefault="004E7F65" w:rsidP="00821E8D">
            <w:r w:rsidRPr="00821E8D">
              <w:t>Plans de prévention</w:t>
            </w:r>
          </w:p>
        </w:tc>
        <w:tc>
          <w:tcPr>
            <w:tcW w:w="650" w:type="pct"/>
            <w:shd w:val="clear" w:color="auto" w:fill="FFFFFF"/>
            <w:vAlign w:val="center"/>
            <w:hideMark/>
          </w:tcPr>
          <w:p w14:paraId="367B78E6" w14:textId="77777777" w:rsidR="004E7F65" w:rsidRPr="00821E8D" w:rsidRDefault="004E7F65" w:rsidP="00821E8D">
            <w:proofErr w:type="gramStart"/>
            <w:r w:rsidRPr="00821E8D">
              <w:t>ensemble</w:t>
            </w:r>
            <w:proofErr w:type="gramEnd"/>
          </w:p>
        </w:tc>
        <w:tc>
          <w:tcPr>
            <w:tcW w:w="1050" w:type="pct"/>
            <w:shd w:val="clear" w:color="auto" w:fill="FFFFFF"/>
            <w:vAlign w:val="center"/>
            <w:hideMark/>
          </w:tcPr>
          <w:p w14:paraId="39D9D936" w14:textId="77777777" w:rsidR="004E7F65" w:rsidRPr="00821E8D" w:rsidRDefault="004E7F65" w:rsidP="00821E8D"/>
        </w:tc>
      </w:tr>
      <w:tr w:rsidR="004E7F65" w:rsidRPr="00821E8D" w14:paraId="68BD6DAB" w14:textId="77777777" w:rsidTr="00821E8D">
        <w:trPr>
          <w:trHeight w:val="585"/>
          <w:tblCellSpacing w:w="0" w:type="dxa"/>
        </w:trPr>
        <w:tc>
          <w:tcPr>
            <w:tcW w:w="600" w:type="pct"/>
            <w:shd w:val="clear" w:color="auto" w:fill="auto"/>
            <w:vAlign w:val="center"/>
            <w:hideMark/>
          </w:tcPr>
          <w:p w14:paraId="332E05CB" w14:textId="77777777" w:rsidR="004E7F65" w:rsidRPr="00821E8D" w:rsidRDefault="004E7F65" w:rsidP="00821E8D">
            <w:r w:rsidRPr="00821E8D">
              <w:t>1.3.1.q</w:t>
            </w:r>
          </w:p>
          <w:p w14:paraId="07A106DB" w14:textId="77777777" w:rsidR="004E7F65" w:rsidRPr="00821E8D" w:rsidRDefault="004E7F65" w:rsidP="00821E8D">
            <w:r w:rsidRPr="00821E8D">
              <w:t>1.5</w:t>
            </w:r>
          </w:p>
        </w:tc>
        <w:tc>
          <w:tcPr>
            <w:tcW w:w="2700" w:type="pct"/>
            <w:shd w:val="clear" w:color="auto" w:fill="auto"/>
            <w:vAlign w:val="center"/>
            <w:hideMark/>
          </w:tcPr>
          <w:p w14:paraId="4790A553" w14:textId="77777777" w:rsidR="004E7F65" w:rsidRPr="00821E8D" w:rsidRDefault="004E7F65" w:rsidP="00821E8D">
            <w:r w:rsidRPr="00821E8D">
              <w:t>Gestion des déchets</w:t>
            </w:r>
          </w:p>
        </w:tc>
        <w:tc>
          <w:tcPr>
            <w:tcW w:w="650" w:type="pct"/>
            <w:shd w:val="clear" w:color="auto" w:fill="FFFFFF"/>
            <w:vAlign w:val="center"/>
            <w:hideMark/>
          </w:tcPr>
          <w:p w14:paraId="1323299C" w14:textId="77777777" w:rsidR="004E7F65" w:rsidRPr="00821E8D" w:rsidRDefault="004E7F65" w:rsidP="00821E8D">
            <w:proofErr w:type="gramStart"/>
            <w:r w:rsidRPr="00821E8D">
              <w:t>ensemble</w:t>
            </w:r>
            <w:proofErr w:type="gramEnd"/>
          </w:p>
        </w:tc>
        <w:tc>
          <w:tcPr>
            <w:tcW w:w="1050" w:type="pct"/>
            <w:shd w:val="clear" w:color="auto" w:fill="FFFFFF"/>
            <w:vAlign w:val="center"/>
            <w:hideMark/>
          </w:tcPr>
          <w:p w14:paraId="470011F3" w14:textId="77777777" w:rsidR="004E7F65" w:rsidRPr="00821E8D" w:rsidRDefault="004E7F65" w:rsidP="00821E8D"/>
        </w:tc>
      </w:tr>
      <w:tr w:rsidR="004E7F65" w:rsidRPr="00821E8D" w14:paraId="35D80E4C" w14:textId="77777777" w:rsidTr="00821E8D">
        <w:trPr>
          <w:tblCellSpacing w:w="0" w:type="dxa"/>
        </w:trPr>
        <w:tc>
          <w:tcPr>
            <w:tcW w:w="600" w:type="pct"/>
            <w:vMerge w:val="restart"/>
            <w:shd w:val="clear" w:color="auto" w:fill="auto"/>
            <w:vAlign w:val="center"/>
            <w:hideMark/>
          </w:tcPr>
          <w:p w14:paraId="46252385" w14:textId="77777777" w:rsidR="004E7F65" w:rsidRPr="00821E8D" w:rsidRDefault="004E7F65" w:rsidP="00821E8D">
            <w:r w:rsidRPr="00821E8D">
              <w:lastRenderedPageBreak/>
              <w:t>1.3.1.o</w:t>
            </w:r>
          </w:p>
          <w:p w14:paraId="19D07C76" w14:textId="77777777" w:rsidR="004E7F65" w:rsidRPr="00821E8D" w:rsidRDefault="004E7F65" w:rsidP="00821E8D">
            <w:r w:rsidRPr="00821E8D">
              <w:t xml:space="preserve">2.2.1.1 </w:t>
            </w:r>
          </w:p>
          <w:p w14:paraId="6E4377DB" w14:textId="77777777" w:rsidR="004E7F65" w:rsidRPr="00821E8D" w:rsidRDefault="004E7F65" w:rsidP="00821E8D">
            <w:proofErr w:type="gramStart"/>
            <w:r w:rsidRPr="00821E8D">
              <w:t>à</w:t>
            </w:r>
            <w:proofErr w:type="gramEnd"/>
            <w:r w:rsidRPr="00821E8D">
              <w:t xml:space="preserve"> </w:t>
            </w:r>
          </w:p>
          <w:p w14:paraId="2D5A0738" w14:textId="77777777" w:rsidR="004E7F65" w:rsidRPr="00821E8D" w:rsidRDefault="004E7F65" w:rsidP="00821E8D">
            <w:r w:rsidRPr="00821E8D">
              <w:t>2.2.1.8</w:t>
            </w:r>
          </w:p>
        </w:tc>
        <w:tc>
          <w:tcPr>
            <w:tcW w:w="4400" w:type="pct"/>
            <w:gridSpan w:val="3"/>
            <w:shd w:val="clear" w:color="auto" w:fill="CCCCCC"/>
            <w:vAlign w:val="center"/>
            <w:hideMark/>
          </w:tcPr>
          <w:p w14:paraId="71D3B027" w14:textId="77777777" w:rsidR="004E7F65" w:rsidRPr="00821E8D" w:rsidRDefault="004E7F65" w:rsidP="00821E8D">
            <w:r w:rsidRPr="00821E8D">
              <w:t>Fourniture des sources lumineuses et matériels</w:t>
            </w:r>
          </w:p>
          <w:p w14:paraId="6119CCF0" w14:textId="77777777" w:rsidR="004E7F65" w:rsidRPr="00821E8D" w:rsidRDefault="004E7F65" w:rsidP="00821E8D">
            <w:r w:rsidRPr="00821E8D">
              <w:t xml:space="preserve">Hors </w:t>
            </w:r>
            <w:proofErr w:type="spellStart"/>
            <w:r w:rsidRPr="00821E8D">
              <w:t>Caran</w:t>
            </w:r>
            <w:proofErr w:type="spellEnd"/>
            <w:r w:rsidRPr="00821E8D">
              <w:t xml:space="preserve"> (cf. annexe n°3 du CCTP)</w:t>
            </w:r>
          </w:p>
        </w:tc>
      </w:tr>
      <w:tr w:rsidR="004E7F65" w:rsidRPr="00821E8D" w14:paraId="3B719305" w14:textId="77777777" w:rsidTr="00821E8D">
        <w:trPr>
          <w:tblCellSpacing w:w="0" w:type="dxa"/>
        </w:trPr>
        <w:tc>
          <w:tcPr>
            <w:tcW w:w="0" w:type="auto"/>
            <w:vMerge/>
            <w:shd w:val="clear" w:color="auto" w:fill="auto"/>
            <w:vAlign w:val="center"/>
            <w:hideMark/>
          </w:tcPr>
          <w:p w14:paraId="3CA93DCB" w14:textId="77777777" w:rsidR="004E7F65" w:rsidRPr="00821E8D" w:rsidRDefault="004E7F65" w:rsidP="00821E8D"/>
        </w:tc>
        <w:tc>
          <w:tcPr>
            <w:tcW w:w="2700" w:type="pct"/>
            <w:shd w:val="clear" w:color="auto" w:fill="auto"/>
            <w:vAlign w:val="center"/>
            <w:hideMark/>
          </w:tcPr>
          <w:p w14:paraId="43B479D3" w14:textId="77777777" w:rsidR="004E7F65" w:rsidRPr="00821E8D" w:rsidRDefault="004E7F65" w:rsidP="00821E8D">
            <w:r w:rsidRPr="00821E8D">
              <w:t>Selon besoin, ensemble des lampes d’éclairage</w:t>
            </w:r>
          </w:p>
        </w:tc>
        <w:tc>
          <w:tcPr>
            <w:tcW w:w="650" w:type="pct"/>
            <w:shd w:val="clear" w:color="auto" w:fill="auto"/>
            <w:vAlign w:val="center"/>
            <w:hideMark/>
          </w:tcPr>
          <w:p w14:paraId="7DB26EC3"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41502A3F" w14:textId="77777777" w:rsidR="004E7F65" w:rsidRPr="00821E8D" w:rsidRDefault="004E7F65" w:rsidP="00821E8D"/>
        </w:tc>
      </w:tr>
      <w:tr w:rsidR="004E7F65" w:rsidRPr="00821E8D" w14:paraId="6ACDC96A" w14:textId="77777777" w:rsidTr="00821E8D">
        <w:trPr>
          <w:tblCellSpacing w:w="0" w:type="dxa"/>
        </w:trPr>
        <w:tc>
          <w:tcPr>
            <w:tcW w:w="0" w:type="auto"/>
            <w:vMerge/>
            <w:shd w:val="clear" w:color="auto" w:fill="auto"/>
            <w:vAlign w:val="center"/>
            <w:hideMark/>
          </w:tcPr>
          <w:p w14:paraId="0F220262" w14:textId="77777777" w:rsidR="004E7F65" w:rsidRPr="00821E8D" w:rsidRDefault="004E7F65" w:rsidP="00821E8D"/>
        </w:tc>
        <w:tc>
          <w:tcPr>
            <w:tcW w:w="2700" w:type="pct"/>
            <w:shd w:val="clear" w:color="auto" w:fill="auto"/>
            <w:vAlign w:val="center"/>
            <w:hideMark/>
          </w:tcPr>
          <w:p w14:paraId="26C21BBB" w14:textId="77777777" w:rsidR="004E7F65" w:rsidRPr="00821E8D" w:rsidRDefault="004E7F65" w:rsidP="00821E8D">
            <w:r w:rsidRPr="00821E8D">
              <w:t xml:space="preserve">Chaque année minimum et selon besoin, éclairage des lustres et appliques hôtel de Soubise et </w:t>
            </w:r>
            <w:proofErr w:type="gramStart"/>
            <w:r w:rsidRPr="00821E8D">
              <w:t>d’Assy .</w:t>
            </w:r>
            <w:proofErr w:type="gramEnd"/>
            <w:r w:rsidRPr="00821E8D">
              <w:t xml:space="preserve"> </w:t>
            </w:r>
          </w:p>
        </w:tc>
        <w:tc>
          <w:tcPr>
            <w:tcW w:w="650" w:type="pct"/>
            <w:shd w:val="clear" w:color="auto" w:fill="auto"/>
            <w:vAlign w:val="center"/>
            <w:hideMark/>
          </w:tcPr>
          <w:p w14:paraId="7FAE9C43"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68ADB38B" w14:textId="77777777" w:rsidR="004E7F65" w:rsidRPr="00821E8D" w:rsidRDefault="004E7F65" w:rsidP="00821E8D"/>
        </w:tc>
      </w:tr>
      <w:tr w:rsidR="004E7F65" w:rsidRPr="00821E8D" w14:paraId="255BF2B7" w14:textId="77777777" w:rsidTr="00821E8D">
        <w:trPr>
          <w:tblCellSpacing w:w="0" w:type="dxa"/>
        </w:trPr>
        <w:tc>
          <w:tcPr>
            <w:tcW w:w="0" w:type="auto"/>
            <w:vMerge/>
            <w:shd w:val="clear" w:color="auto" w:fill="auto"/>
            <w:vAlign w:val="center"/>
            <w:hideMark/>
          </w:tcPr>
          <w:p w14:paraId="73B4D340" w14:textId="77777777" w:rsidR="004E7F65" w:rsidRPr="00821E8D" w:rsidRDefault="004E7F65" w:rsidP="00821E8D"/>
        </w:tc>
        <w:tc>
          <w:tcPr>
            <w:tcW w:w="2700" w:type="pct"/>
            <w:shd w:val="clear" w:color="auto" w:fill="auto"/>
            <w:vAlign w:val="center"/>
            <w:hideMark/>
          </w:tcPr>
          <w:p w14:paraId="7B19463E" w14:textId="77777777" w:rsidR="004E7F65" w:rsidRPr="00821E8D" w:rsidRDefault="004E7F65" w:rsidP="00821E8D">
            <w:r w:rsidRPr="00821E8D">
              <w:t xml:space="preserve">Chaque année 8 éclairages de </w:t>
            </w:r>
            <w:proofErr w:type="gramStart"/>
            <w:r w:rsidRPr="00821E8D">
              <w:t>GOBO ,cour</w:t>
            </w:r>
            <w:proofErr w:type="gramEnd"/>
            <w:r w:rsidRPr="00821E8D">
              <w:t xml:space="preserve"> d’honneur</w:t>
            </w:r>
          </w:p>
        </w:tc>
        <w:tc>
          <w:tcPr>
            <w:tcW w:w="650" w:type="pct"/>
            <w:shd w:val="clear" w:color="auto" w:fill="auto"/>
            <w:vAlign w:val="center"/>
            <w:hideMark/>
          </w:tcPr>
          <w:p w14:paraId="13A8AC71"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48EC1E87" w14:textId="77777777" w:rsidR="004E7F65" w:rsidRPr="00821E8D" w:rsidRDefault="004E7F65" w:rsidP="00821E8D"/>
        </w:tc>
      </w:tr>
      <w:tr w:rsidR="004E7F65" w:rsidRPr="00821E8D" w14:paraId="13D2B36F" w14:textId="77777777" w:rsidTr="00821E8D">
        <w:trPr>
          <w:tblCellSpacing w:w="0" w:type="dxa"/>
        </w:trPr>
        <w:tc>
          <w:tcPr>
            <w:tcW w:w="0" w:type="auto"/>
            <w:vMerge/>
            <w:shd w:val="clear" w:color="auto" w:fill="auto"/>
            <w:vAlign w:val="center"/>
            <w:hideMark/>
          </w:tcPr>
          <w:p w14:paraId="537B2FDE" w14:textId="77777777" w:rsidR="004E7F65" w:rsidRPr="00821E8D" w:rsidRDefault="004E7F65" w:rsidP="00821E8D"/>
        </w:tc>
        <w:tc>
          <w:tcPr>
            <w:tcW w:w="2700" w:type="pct"/>
            <w:shd w:val="clear" w:color="auto" w:fill="auto"/>
            <w:vAlign w:val="center"/>
            <w:hideMark/>
          </w:tcPr>
          <w:p w14:paraId="37E84C3D" w14:textId="77777777" w:rsidR="004E7F65" w:rsidRPr="00821E8D" w:rsidRDefault="004E7F65" w:rsidP="00821E8D">
            <w:r w:rsidRPr="00821E8D">
              <w:t xml:space="preserve">20 BAES </w:t>
            </w:r>
            <w:proofErr w:type="spellStart"/>
            <w:r w:rsidRPr="00821E8D">
              <w:t>evacuation</w:t>
            </w:r>
            <w:proofErr w:type="spellEnd"/>
            <w:r w:rsidRPr="00821E8D">
              <w:t xml:space="preserve"> type sati compatible </w:t>
            </w:r>
            <w:proofErr w:type="spellStart"/>
            <w:r w:rsidRPr="00821E8D">
              <w:t>legrand</w:t>
            </w:r>
            <w:proofErr w:type="spellEnd"/>
          </w:p>
        </w:tc>
        <w:tc>
          <w:tcPr>
            <w:tcW w:w="650" w:type="pct"/>
            <w:shd w:val="clear" w:color="auto" w:fill="auto"/>
            <w:vAlign w:val="center"/>
            <w:hideMark/>
          </w:tcPr>
          <w:p w14:paraId="65C18BE9"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4D215BFC" w14:textId="77777777" w:rsidR="004E7F65" w:rsidRPr="00821E8D" w:rsidRDefault="004E7F65" w:rsidP="00821E8D"/>
        </w:tc>
      </w:tr>
      <w:tr w:rsidR="004E7F65" w:rsidRPr="00821E8D" w14:paraId="51DA919A" w14:textId="77777777" w:rsidTr="00821E8D">
        <w:trPr>
          <w:tblCellSpacing w:w="0" w:type="dxa"/>
        </w:trPr>
        <w:tc>
          <w:tcPr>
            <w:tcW w:w="0" w:type="auto"/>
            <w:vMerge/>
            <w:shd w:val="clear" w:color="auto" w:fill="auto"/>
            <w:vAlign w:val="center"/>
            <w:hideMark/>
          </w:tcPr>
          <w:p w14:paraId="153A577C" w14:textId="77777777" w:rsidR="004E7F65" w:rsidRPr="00821E8D" w:rsidRDefault="004E7F65" w:rsidP="00821E8D"/>
        </w:tc>
        <w:tc>
          <w:tcPr>
            <w:tcW w:w="2700" w:type="pct"/>
            <w:shd w:val="clear" w:color="auto" w:fill="auto"/>
            <w:vAlign w:val="center"/>
            <w:hideMark/>
          </w:tcPr>
          <w:p w14:paraId="7A3ADF53" w14:textId="77777777" w:rsidR="004E7F65" w:rsidRPr="00821E8D" w:rsidRDefault="004E7F65" w:rsidP="00821E8D">
            <w:r w:rsidRPr="00821E8D">
              <w:t xml:space="preserve">30 accumulateurs pour BAES </w:t>
            </w:r>
            <w:proofErr w:type="spellStart"/>
            <w:r w:rsidRPr="00821E8D">
              <w:t>evacuation</w:t>
            </w:r>
            <w:proofErr w:type="spellEnd"/>
            <w:r w:rsidRPr="00821E8D">
              <w:t xml:space="preserve"> Legrand</w:t>
            </w:r>
          </w:p>
        </w:tc>
        <w:tc>
          <w:tcPr>
            <w:tcW w:w="650" w:type="pct"/>
            <w:shd w:val="clear" w:color="auto" w:fill="auto"/>
            <w:vAlign w:val="center"/>
            <w:hideMark/>
          </w:tcPr>
          <w:p w14:paraId="3F966498"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079DF55C" w14:textId="77777777" w:rsidR="004E7F65" w:rsidRPr="00821E8D" w:rsidRDefault="004E7F65" w:rsidP="00821E8D"/>
        </w:tc>
      </w:tr>
      <w:tr w:rsidR="004E7F65" w:rsidRPr="00821E8D" w14:paraId="727A2753" w14:textId="77777777" w:rsidTr="00821E8D">
        <w:trPr>
          <w:tblCellSpacing w:w="0" w:type="dxa"/>
        </w:trPr>
        <w:tc>
          <w:tcPr>
            <w:tcW w:w="0" w:type="auto"/>
            <w:vMerge/>
            <w:shd w:val="clear" w:color="auto" w:fill="auto"/>
            <w:vAlign w:val="center"/>
            <w:hideMark/>
          </w:tcPr>
          <w:p w14:paraId="4910B037" w14:textId="77777777" w:rsidR="004E7F65" w:rsidRPr="00821E8D" w:rsidRDefault="004E7F65" w:rsidP="00821E8D"/>
        </w:tc>
        <w:tc>
          <w:tcPr>
            <w:tcW w:w="2700" w:type="pct"/>
            <w:shd w:val="clear" w:color="auto" w:fill="auto"/>
            <w:vAlign w:val="center"/>
            <w:hideMark/>
          </w:tcPr>
          <w:p w14:paraId="2044FDB5" w14:textId="77777777" w:rsidR="004E7F65" w:rsidRPr="00821E8D" w:rsidRDefault="004E7F65" w:rsidP="00821E8D">
            <w:r w:rsidRPr="00821E8D">
              <w:t>8 piles NI-MH 9 volts/6 piles CR1616 _3volts</w:t>
            </w:r>
          </w:p>
        </w:tc>
        <w:tc>
          <w:tcPr>
            <w:tcW w:w="650" w:type="pct"/>
            <w:shd w:val="clear" w:color="auto" w:fill="auto"/>
            <w:vAlign w:val="center"/>
            <w:hideMark/>
          </w:tcPr>
          <w:p w14:paraId="11C5C66C"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6B59E384" w14:textId="77777777" w:rsidR="004E7F65" w:rsidRPr="00821E8D" w:rsidRDefault="004E7F65" w:rsidP="00821E8D"/>
        </w:tc>
      </w:tr>
      <w:tr w:rsidR="004E7F65" w:rsidRPr="00821E8D" w14:paraId="4EFFD85C" w14:textId="77777777" w:rsidTr="00821E8D">
        <w:trPr>
          <w:tblCellSpacing w:w="0" w:type="dxa"/>
        </w:trPr>
        <w:tc>
          <w:tcPr>
            <w:tcW w:w="0" w:type="auto"/>
            <w:vMerge/>
            <w:shd w:val="clear" w:color="auto" w:fill="auto"/>
            <w:vAlign w:val="center"/>
            <w:hideMark/>
          </w:tcPr>
          <w:p w14:paraId="53439C67" w14:textId="77777777" w:rsidR="004E7F65" w:rsidRPr="00821E8D" w:rsidRDefault="004E7F65" w:rsidP="00821E8D"/>
        </w:tc>
        <w:tc>
          <w:tcPr>
            <w:tcW w:w="2700" w:type="pct"/>
            <w:shd w:val="clear" w:color="auto" w:fill="auto"/>
            <w:vAlign w:val="center"/>
            <w:hideMark/>
          </w:tcPr>
          <w:p w14:paraId="63D401FE" w14:textId="77777777" w:rsidR="004E7F65" w:rsidRPr="00821E8D" w:rsidRDefault="004E7F65" w:rsidP="00821E8D">
            <w:r w:rsidRPr="00821E8D">
              <w:t xml:space="preserve">8 lampes extérieures de </w:t>
            </w:r>
            <w:proofErr w:type="spellStart"/>
            <w:r w:rsidRPr="00821E8D">
              <w:t>Gobo</w:t>
            </w:r>
            <w:proofErr w:type="spellEnd"/>
          </w:p>
        </w:tc>
        <w:tc>
          <w:tcPr>
            <w:tcW w:w="650" w:type="pct"/>
            <w:shd w:val="clear" w:color="auto" w:fill="auto"/>
            <w:vAlign w:val="center"/>
            <w:hideMark/>
          </w:tcPr>
          <w:p w14:paraId="575D60A9"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3452291C" w14:textId="77777777" w:rsidR="004E7F65" w:rsidRPr="00821E8D" w:rsidRDefault="004E7F65" w:rsidP="00821E8D"/>
        </w:tc>
      </w:tr>
      <w:tr w:rsidR="004E7F65" w:rsidRPr="00821E8D" w14:paraId="7CED2C6E" w14:textId="77777777" w:rsidTr="00821E8D">
        <w:trPr>
          <w:tblCellSpacing w:w="0" w:type="dxa"/>
        </w:trPr>
        <w:tc>
          <w:tcPr>
            <w:tcW w:w="0" w:type="auto"/>
            <w:vMerge/>
            <w:shd w:val="clear" w:color="auto" w:fill="auto"/>
            <w:vAlign w:val="center"/>
            <w:hideMark/>
          </w:tcPr>
          <w:p w14:paraId="481C1C4F" w14:textId="77777777" w:rsidR="004E7F65" w:rsidRPr="00821E8D" w:rsidRDefault="004E7F65" w:rsidP="00821E8D"/>
        </w:tc>
        <w:tc>
          <w:tcPr>
            <w:tcW w:w="2700" w:type="pct"/>
            <w:shd w:val="clear" w:color="auto" w:fill="auto"/>
            <w:vAlign w:val="center"/>
            <w:hideMark/>
          </w:tcPr>
          <w:p w14:paraId="7976E933" w14:textId="77777777" w:rsidR="004E7F65" w:rsidRPr="00821E8D" w:rsidRDefault="004E7F65" w:rsidP="00821E8D">
            <w:r w:rsidRPr="00821E8D">
              <w:t>40 petits matériels standards + 10 borniers à connexion rapide</w:t>
            </w:r>
          </w:p>
        </w:tc>
        <w:tc>
          <w:tcPr>
            <w:tcW w:w="650" w:type="pct"/>
            <w:shd w:val="clear" w:color="auto" w:fill="auto"/>
            <w:vAlign w:val="center"/>
            <w:hideMark/>
          </w:tcPr>
          <w:p w14:paraId="61DD35F2"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7E6B7ED2" w14:textId="77777777" w:rsidR="004E7F65" w:rsidRPr="00821E8D" w:rsidRDefault="004E7F65" w:rsidP="00821E8D"/>
        </w:tc>
      </w:tr>
      <w:tr w:rsidR="004E7F65" w:rsidRPr="00821E8D" w14:paraId="1ED05A25" w14:textId="77777777" w:rsidTr="00821E8D">
        <w:trPr>
          <w:tblCellSpacing w:w="0" w:type="dxa"/>
        </w:trPr>
        <w:tc>
          <w:tcPr>
            <w:tcW w:w="0" w:type="auto"/>
            <w:vMerge/>
            <w:shd w:val="clear" w:color="auto" w:fill="auto"/>
            <w:vAlign w:val="center"/>
            <w:hideMark/>
          </w:tcPr>
          <w:p w14:paraId="31CE78C4" w14:textId="77777777" w:rsidR="004E7F65" w:rsidRPr="00821E8D" w:rsidRDefault="004E7F65" w:rsidP="00821E8D"/>
        </w:tc>
        <w:tc>
          <w:tcPr>
            <w:tcW w:w="2700" w:type="pct"/>
            <w:shd w:val="clear" w:color="auto" w:fill="auto"/>
            <w:vAlign w:val="center"/>
            <w:hideMark/>
          </w:tcPr>
          <w:p w14:paraId="58FBB3F8" w14:textId="77777777" w:rsidR="004E7F65" w:rsidRPr="00821E8D" w:rsidRDefault="004E7F65" w:rsidP="00821E8D">
            <w:r w:rsidRPr="00821E8D">
              <w:t>20 petits matériels électromécaniques</w:t>
            </w:r>
          </w:p>
        </w:tc>
        <w:tc>
          <w:tcPr>
            <w:tcW w:w="650" w:type="pct"/>
            <w:shd w:val="clear" w:color="auto" w:fill="auto"/>
            <w:vAlign w:val="center"/>
            <w:hideMark/>
          </w:tcPr>
          <w:p w14:paraId="4B3416D9"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285D4FEF" w14:textId="77777777" w:rsidR="004E7F65" w:rsidRPr="00821E8D" w:rsidRDefault="004E7F65" w:rsidP="00821E8D"/>
        </w:tc>
      </w:tr>
      <w:tr w:rsidR="004E7F65" w:rsidRPr="00821E8D" w14:paraId="750E931D" w14:textId="77777777" w:rsidTr="00821E8D">
        <w:trPr>
          <w:tblCellSpacing w:w="0" w:type="dxa"/>
        </w:trPr>
        <w:tc>
          <w:tcPr>
            <w:tcW w:w="600" w:type="pct"/>
            <w:vMerge w:val="restart"/>
            <w:shd w:val="clear" w:color="auto" w:fill="auto"/>
            <w:vAlign w:val="center"/>
            <w:hideMark/>
          </w:tcPr>
          <w:p w14:paraId="3A1EFA82" w14:textId="77777777" w:rsidR="004E7F65" w:rsidRPr="00821E8D" w:rsidRDefault="004E7F65" w:rsidP="00821E8D">
            <w:r w:rsidRPr="00821E8D">
              <w:t>1.3.1.p</w:t>
            </w:r>
          </w:p>
          <w:p w14:paraId="517D287D" w14:textId="77777777" w:rsidR="004E7F65" w:rsidRPr="00821E8D" w:rsidRDefault="004E7F65" w:rsidP="00821E8D">
            <w:r w:rsidRPr="00821E8D">
              <w:t>2.2.1.9</w:t>
            </w:r>
          </w:p>
          <w:p w14:paraId="49872664" w14:textId="77777777" w:rsidR="004E7F65" w:rsidRPr="00821E8D" w:rsidRDefault="004E7F65" w:rsidP="00821E8D">
            <w:proofErr w:type="gramStart"/>
            <w:r w:rsidRPr="00821E8D">
              <w:t>à</w:t>
            </w:r>
            <w:proofErr w:type="gramEnd"/>
            <w:r w:rsidRPr="00821E8D">
              <w:t xml:space="preserve"> </w:t>
            </w:r>
          </w:p>
          <w:p w14:paraId="60D8A224" w14:textId="77777777" w:rsidR="004E7F65" w:rsidRPr="00821E8D" w:rsidRDefault="004E7F65" w:rsidP="00821E8D">
            <w:r w:rsidRPr="00821E8D">
              <w:t>2.2.1.12</w:t>
            </w:r>
          </w:p>
        </w:tc>
        <w:tc>
          <w:tcPr>
            <w:tcW w:w="4400" w:type="pct"/>
            <w:gridSpan w:val="3"/>
            <w:shd w:val="clear" w:color="auto" w:fill="CCCCCC"/>
            <w:vAlign w:val="center"/>
            <w:hideMark/>
          </w:tcPr>
          <w:p w14:paraId="71D13AC8" w14:textId="77777777" w:rsidR="004E7F65" w:rsidRPr="00821E8D" w:rsidRDefault="004E7F65" w:rsidP="00821E8D">
            <w:r w:rsidRPr="00821E8D">
              <w:t>Fourniture des sources lumineuses et matériels</w:t>
            </w:r>
          </w:p>
          <w:p w14:paraId="02C90697" w14:textId="77777777" w:rsidR="004E7F65" w:rsidRPr="00821E8D" w:rsidRDefault="004E7F65" w:rsidP="00821E8D">
            <w:r w:rsidRPr="00821E8D">
              <w:t xml:space="preserve">Bâtiment </w:t>
            </w:r>
            <w:proofErr w:type="spellStart"/>
            <w:r w:rsidRPr="00821E8D">
              <w:t>Caran</w:t>
            </w:r>
            <w:proofErr w:type="spellEnd"/>
          </w:p>
        </w:tc>
      </w:tr>
      <w:tr w:rsidR="004E7F65" w:rsidRPr="00821E8D" w14:paraId="5F921330" w14:textId="77777777" w:rsidTr="00821E8D">
        <w:trPr>
          <w:tblCellSpacing w:w="0" w:type="dxa"/>
        </w:trPr>
        <w:tc>
          <w:tcPr>
            <w:tcW w:w="0" w:type="auto"/>
            <w:vMerge/>
            <w:shd w:val="clear" w:color="auto" w:fill="auto"/>
            <w:vAlign w:val="center"/>
            <w:hideMark/>
          </w:tcPr>
          <w:p w14:paraId="4B2EAB95" w14:textId="77777777" w:rsidR="004E7F65" w:rsidRPr="00821E8D" w:rsidRDefault="004E7F65" w:rsidP="00821E8D"/>
        </w:tc>
        <w:tc>
          <w:tcPr>
            <w:tcW w:w="2700" w:type="pct"/>
            <w:shd w:val="clear" w:color="auto" w:fill="auto"/>
            <w:vAlign w:val="center"/>
            <w:hideMark/>
          </w:tcPr>
          <w:p w14:paraId="58796133" w14:textId="77777777" w:rsidR="004E7F65" w:rsidRPr="00821E8D" w:rsidRDefault="004E7F65" w:rsidP="00821E8D">
            <w:r w:rsidRPr="00821E8D">
              <w:t>Selon besoin, toute source lumineuse défectueuse (liste annexe n°3)</w:t>
            </w:r>
          </w:p>
        </w:tc>
        <w:tc>
          <w:tcPr>
            <w:tcW w:w="650" w:type="pct"/>
            <w:shd w:val="clear" w:color="auto" w:fill="auto"/>
            <w:vAlign w:val="center"/>
            <w:hideMark/>
          </w:tcPr>
          <w:p w14:paraId="4392B4D9"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6E30C212" w14:textId="77777777" w:rsidR="004E7F65" w:rsidRPr="00821E8D" w:rsidRDefault="004E7F65" w:rsidP="00821E8D"/>
        </w:tc>
      </w:tr>
      <w:tr w:rsidR="004E7F65" w:rsidRPr="00821E8D" w14:paraId="48C35487" w14:textId="77777777" w:rsidTr="00821E8D">
        <w:trPr>
          <w:tblCellSpacing w:w="0" w:type="dxa"/>
        </w:trPr>
        <w:tc>
          <w:tcPr>
            <w:tcW w:w="0" w:type="auto"/>
            <w:vMerge/>
            <w:shd w:val="clear" w:color="auto" w:fill="auto"/>
            <w:vAlign w:val="center"/>
            <w:hideMark/>
          </w:tcPr>
          <w:p w14:paraId="01F712F3" w14:textId="77777777" w:rsidR="004E7F65" w:rsidRPr="00821E8D" w:rsidRDefault="004E7F65" w:rsidP="00821E8D"/>
        </w:tc>
        <w:tc>
          <w:tcPr>
            <w:tcW w:w="2700" w:type="pct"/>
            <w:shd w:val="clear" w:color="auto" w:fill="auto"/>
            <w:vAlign w:val="center"/>
            <w:hideMark/>
          </w:tcPr>
          <w:p w14:paraId="7E9EA713" w14:textId="77777777" w:rsidR="004E7F65" w:rsidRPr="00821E8D" w:rsidRDefault="004E7F65" w:rsidP="00821E8D">
            <w:r w:rsidRPr="00821E8D">
              <w:t>Certaines sources lumineuses spécifiques remplacées systématiquement chaque année (article 2.2.1.10).</w:t>
            </w:r>
          </w:p>
          <w:p w14:paraId="277C89F4" w14:textId="77777777" w:rsidR="004E7F65" w:rsidRPr="00821E8D" w:rsidRDefault="004E7F65" w:rsidP="00821E8D"/>
        </w:tc>
        <w:tc>
          <w:tcPr>
            <w:tcW w:w="650" w:type="pct"/>
            <w:shd w:val="clear" w:color="auto" w:fill="auto"/>
            <w:vAlign w:val="center"/>
            <w:hideMark/>
          </w:tcPr>
          <w:p w14:paraId="6FC51E65"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782BF0D7" w14:textId="77777777" w:rsidR="004E7F65" w:rsidRPr="00821E8D" w:rsidRDefault="004E7F65" w:rsidP="00821E8D"/>
        </w:tc>
      </w:tr>
      <w:tr w:rsidR="004E7F65" w:rsidRPr="00821E8D" w14:paraId="0CBB6237" w14:textId="77777777" w:rsidTr="00821E8D">
        <w:trPr>
          <w:tblCellSpacing w:w="0" w:type="dxa"/>
        </w:trPr>
        <w:tc>
          <w:tcPr>
            <w:tcW w:w="0" w:type="auto"/>
            <w:vMerge/>
            <w:shd w:val="clear" w:color="auto" w:fill="auto"/>
            <w:vAlign w:val="center"/>
            <w:hideMark/>
          </w:tcPr>
          <w:p w14:paraId="088E9297" w14:textId="77777777" w:rsidR="004E7F65" w:rsidRPr="00821E8D" w:rsidRDefault="004E7F65" w:rsidP="00821E8D"/>
        </w:tc>
        <w:tc>
          <w:tcPr>
            <w:tcW w:w="2700" w:type="pct"/>
            <w:shd w:val="clear" w:color="auto" w:fill="auto"/>
            <w:vAlign w:val="center"/>
            <w:hideMark/>
          </w:tcPr>
          <w:p w14:paraId="609A72A3" w14:textId="77777777" w:rsidR="004E7F65" w:rsidRPr="00821E8D" w:rsidRDefault="004E7F65" w:rsidP="00821E8D">
            <w:r w:rsidRPr="00821E8D">
              <w:t>40 BAES 45 lumens adressables.</w:t>
            </w:r>
          </w:p>
        </w:tc>
        <w:tc>
          <w:tcPr>
            <w:tcW w:w="650" w:type="pct"/>
            <w:shd w:val="clear" w:color="auto" w:fill="auto"/>
            <w:vAlign w:val="center"/>
            <w:hideMark/>
          </w:tcPr>
          <w:p w14:paraId="202CB181"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6DA276FB" w14:textId="77777777" w:rsidR="004E7F65" w:rsidRPr="00821E8D" w:rsidRDefault="004E7F65" w:rsidP="00821E8D"/>
        </w:tc>
      </w:tr>
      <w:tr w:rsidR="004E7F65" w:rsidRPr="00821E8D" w14:paraId="19C256AF" w14:textId="77777777" w:rsidTr="00821E8D">
        <w:trPr>
          <w:tblCellSpacing w:w="0" w:type="dxa"/>
        </w:trPr>
        <w:tc>
          <w:tcPr>
            <w:tcW w:w="0" w:type="auto"/>
            <w:vMerge/>
            <w:shd w:val="clear" w:color="auto" w:fill="auto"/>
            <w:vAlign w:val="center"/>
            <w:hideMark/>
          </w:tcPr>
          <w:p w14:paraId="0BB3822B" w14:textId="77777777" w:rsidR="004E7F65" w:rsidRPr="00821E8D" w:rsidRDefault="004E7F65" w:rsidP="00821E8D"/>
        </w:tc>
        <w:tc>
          <w:tcPr>
            <w:tcW w:w="2700" w:type="pct"/>
            <w:shd w:val="clear" w:color="auto" w:fill="auto"/>
            <w:vAlign w:val="center"/>
            <w:hideMark/>
          </w:tcPr>
          <w:p w14:paraId="00956937" w14:textId="77777777" w:rsidR="004E7F65" w:rsidRPr="00821E8D" w:rsidRDefault="004E7F65" w:rsidP="00821E8D">
            <w:r w:rsidRPr="00821E8D">
              <w:t xml:space="preserve">20 accumulateurs de BAES 45 lumens </w:t>
            </w:r>
            <w:proofErr w:type="spellStart"/>
            <w:r w:rsidRPr="00821E8D">
              <w:t>led</w:t>
            </w:r>
            <w:proofErr w:type="spellEnd"/>
            <w:r w:rsidRPr="00821E8D">
              <w:t xml:space="preserve"> Legrand</w:t>
            </w:r>
          </w:p>
        </w:tc>
        <w:tc>
          <w:tcPr>
            <w:tcW w:w="650" w:type="pct"/>
            <w:shd w:val="clear" w:color="auto" w:fill="auto"/>
            <w:vAlign w:val="center"/>
            <w:hideMark/>
          </w:tcPr>
          <w:p w14:paraId="7EF2224B"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2A1A83BF" w14:textId="77777777" w:rsidR="004E7F65" w:rsidRPr="00821E8D" w:rsidRDefault="004E7F65" w:rsidP="00821E8D"/>
          <w:p w14:paraId="563CF600" w14:textId="77777777" w:rsidR="004E7F65" w:rsidRPr="00821E8D" w:rsidRDefault="004E7F65" w:rsidP="00821E8D"/>
          <w:p w14:paraId="7BB64001" w14:textId="77777777" w:rsidR="004E7F65" w:rsidRPr="00821E8D" w:rsidRDefault="004E7F65" w:rsidP="00821E8D"/>
        </w:tc>
      </w:tr>
      <w:tr w:rsidR="004E7F65" w:rsidRPr="00821E8D" w14:paraId="3FB18356" w14:textId="77777777" w:rsidTr="00821E8D">
        <w:trPr>
          <w:trHeight w:val="450"/>
          <w:tblCellSpacing w:w="0" w:type="dxa"/>
        </w:trPr>
        <w:tc>
          <w:tcPr>
            <w:tcW w:w="600" w:type="pct"/>
            <w:shd w:val="clear" w:color="auto" w:fill="auto"/>
            <w:vAlign w:val="center"/>
            <w:hideMark/>
          </w:tcPr>
          <w:p w14:paraId="4F8435D7" w14:textId="77777777" w:rsidR="004E7F65" w:rsidRPr="00821E8D" w:rsidRDefault="004E7F65" w:rsidP="00821E8D"/>
        </w:tc>
        <w:tc>
          <w:tcPr>
            <w:tcW w:w="4400" w:type="pct"/>
            <w:gridSpan w:val="3"/>
            <w:shd w:val="clear" w:color="auto" w:fill="CCCCCC"/>
            <w:vAlign w:val="center"/>
            <w:hideMark/>
          </w:tcPr>
          <w:p w14:paraId="1E1250C6" w14:textId="77777777" w:rsidR="004E7F65" w:rsidRPr="00821E8D" w:rsidRDefault="004E7F65" w:rsidP="00821E8D">
            <w:r w:rsidRPr="00821E8D">
              <w:t>Autres fournitures</w:t>
            </w:r>
          </w:p>
        </w:tc>
      </w:tr>
      <w:tr w:rsidR="004E7F65" w:rsidRPr="00821E8D" w14:paraId="3343127D" w14:textId="77777777" w:rsidTr="00821E8D">
        <w:trPr>
          <w:trHeight w:val="555"/>
          <w:tblCellSpacing w:w="0" w:type="dxa"/>
        </w:trPr>
        <w:tc>
          <w:tcPr>
            <w:tcW w:w="600" w:type="pct"/>
            <w:shd w:val="clear" w:color="auto" w:fill="auto"/>
            <w:vAlign w:val="center"/>
            <w:hideMark/>
          </w:tcPr>
          <w:p w14:paraId="1808580E" w14:textId="77777777" w:rsidR="004E7F65" w:rsidRPr="00821E8D" w:rsidRDefault="004E7F65" w:rsidP="00821E8D">
            <w:r w:rsidRPr="00821E8D">
              <w:t>2.2.1.13</w:t>
            </w:r>
          </w:p>
          <w:p w14:paraId="1326D473" w14:textId="77777777" w:rsidR="004E7F65" w:rsidRPr="00821E8D" w:rsidRDefault="004E7F65" w:rsidP="00821E8D"/>
        </w:tc>
        <w:tc>
          <w:tcPr>
            <w:tcW w:w="2700" w:type="pct"/>
            <w:shd w:val="clear" w:color="auto" w:fill="auto"/>
            <w:vAlign w:val="center"/>
            <w:hideMark/>
          </w:tcPr>
          <w:p w14:paraId="53B0FE91" w14:textId="77777777" w:rsidR="004E7F65" w:rsidRPr="00821E8D" w:rsidRDefault="004E7F65" w:rsidP="00821E8D">
            <w:r w:rsidRPr="00821E8D">
              <w:t>Fournitures groupe électrogène</w:t>
            </w:r>
          </w:p>
        </w:tc>
        <w:tc>
          <w:tcPr>
            <w:tcW w:w="650" w:type="pct"/>
            <w:shd w:val="clear" w:color="auto" w:fill="auto"/>
            <w:vAlign w:val="center"/>
            <w:hideMark/>
          </w:tcPr>
          <w:p w14:paraId="4822E2C2"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7D61FD65" w14:textId="77777777" w:rsidR="004E7F65" w:rsidRPr="00821E8D" w:rsidRDefault="004E7F65" w:rsidP="00821E8D"/>
        </w:tc>
      </w:tr>
      <w:tr w:rsidR="004E7F65" w:rsidRPr="00821E8D" w14:paraId="688A921B" w14:textId="77777777" w:rsidTr="00821E8D">
        <w:trPr>
          <w:trHeight w:val="600"/>
          <w:tblCellSpacing w:w="0" w:type="dxa"/>
        </w:trPr>
        <w:tc>
          <w:tcPr>
            <w:tcW w:w="600" w:type="pct"/>
            <w:shd w:val="clear" w:color="auto" w:fill="auto"/>
            <w:vAlign w:val="center"/>
            <w:hideMark/>
          </w:tcPr>
          <w:p w14:paraId="2F29168F" w14:textId="77777777" w:rsidR="004E7F65" w:rsidRPr="00821E8D" w:rsidRDefault="004E7F65" w:rsidP="00821E8D">
            <w:r w:rsidRPr="00821E8D">
              <w:t>2.2.1.14</w:t>
            </w:r>
          </w:p>
          <w:p w14:paraId="56533AEC" w14:textId="77777777" w:rsidR="004E7F65" w:rsidRPr="00821E8D" w:rsidRDefault="004E7F65" w:rsidP="00821E8D">
            <w:proofErr w:type="gramStart"/>
            <w:r w:rsidRPr="00821E8D">
              <w:t>à</w:t>
            </w:r>
            <w:proofErr w:type="gramEnd"/>
            <w:r w:rsidRPr="00821E8D">
              <w:t xml:space="preserve"> 16</w:t>
            </w:r>
          </w:p>
        </w:tc>
        <w:tc>
          <w:tcPr>
            <w:tcW w:w="2700" w:type="pct"/>
            <w:shd w:val="clear" w:color="auto" w:fill="auto"/>
            <w:vAlign w:val="center"/>
            <w:hideMark/>
          </w:tcPr>
          <w:p w14:paraId="52085ACE" w14:textId="77777777" w:rsidR="004E7F65" w:rsidRPr="00821E8D" w:rsidRDefault="004E7F65" w:rsidP="00821E8D">
            <w:r w:rsidRPr="00821E8D">
              <w:t>Autres</w:t>
            </w:r>
          </w:p>
        </w:tc>
        <w:tc>
          <w:tcPr>
            <w:tcW w:w="650" w:type="pct"/>
            <w:shd w:val="clear" w:color="auto" w:fill="auto"/>
            <w:vAlign w:val="center"/>
            <w:hideMark/>
          </w:tcPr>
          <w:p w14:paraId="25908055" w14:textId="77777777" w:rsidR="004E7F65" w:rsidRPr="00821E8D" w:rsidRDefault="004E7F65" w:rsidP="00821E8D">
            <w:proofErr w:type="gramStart"/>
            <w:r w:rsidRPr="00821E8D">
              <w:t>ensemble</w:t>
            </w:r>
            <w:proofErr w:type="gramEnd"/>
          </w:p>
        </w:tc>
        <w:tc>
          <w:tcPr>
            <w:tcW w:w="1050" w:type="pct"/>
            <w:shd w:val="clear" w:color="auto" w:fill="auto"/>
            <w:vAlign w:val="center"/>
            <w:hideMark/>
          </w:tcPr>
          <w:p w14:paraId="3397FB25" w14:textId="77777777" w:rsidR="004E7F65" w:rsidRPr="00821E8D" w:rsidRDefault="004E7F65" w:rsidP="00821E8D"/>
        </w:tc>
      </w:tr>
      <w:tr w:rsidR="004E7F65" w:rsidRPr="00821E8D" w14:paraId="45DA2293" w14:textId="77777777" w:rsidTr="00821E8D">
        <w:trPr>
          <w:tblCellSpacing w:w="0" w:type="dxa"/>
        </w:trPr>
        <w:tc>
          <w:tcPr>
            <w:tcW w:w="5000" w:type="pct"/>
            <w:gridSpan w:val="4"/>
            <w:shd w:val="clear" w:color="auto" w:fill="auto"/>
            <w:hideMark/>
          </w:tcPr>
          <w:p w14:paraId="27140395" w14:textId="77777777" w:rsidR="004E7F65" w:rsidRPr="00821E8D" w:rsidRDefault="004E7F65" w:rsidP="00821E8D"/>
        </w:tc>
      </w:tr>
      <w:tr w:rsidR="004E7F65" w:rsidRPr="00821E8D" w14:paraId="0F0831EB" w14:textId="77777777" w:rsidTr="00821E8D">
        <w:trPr>
          <w:trHeight w:val="1134"/>
          <w:tblCellSpacing w:w="0" w:type="dxa"/>
        </w:trPr>
        <w:tc>
          <w:tcPr>
            <w:tcW w:w="3300" w:type="pct"/>
            <w:gridSpan w:val="2"/>
            <w:shd w:val="clear" w:color="auto" w:fill="auto"/>
            <w:hideMark/>
          </w:tcPr>
          <w:p w14:paraId="5C6D4B20" w14:textId="77777777" w:rsidR="004E7F65" w:rsidRPr="00821E8D" w:rsidRDefault="004E7F65" w:rsidP="00821E8D"/>
          <w:p w14:paraId="67E7EFC7" w14:textId="77777777" w:rsidR="004E7F65" w:rsidRPr="00821E8D" w:rsidRDefault="004E7F65" w:rsidP="00821E8D"/>
          <w:p w14:paraId="47E68760" w14:textId="77777777" w:rsidR="004E7F65" w:rsidRPr="00821E8D" w:rsidRDefault="004E7F65" w:rsidP="00821E8D">
            <w:r w:rsidRPr="00821E8D">
              <w:t>TOTAL général HT</w:t>
            </w:r>
          </w:p>
          <w:p w14:paraId="71E43ECB" w14:textId="77777777" w:rsidR="004E7F65" w:rsidRPr="00821E8D" w:rsidRDefault="004E7F65" w:rsidP="00821E8D"/>
        </w:tc>
        <w:tc>
          <w:tcPr>
            <w:tcW w:w="650" w:type="pct"/>
            <w:shd w:val="clear" w:color="auto" w:fill="B2B2B2"/>
            <w:vAlign w:val="center"/>
            <w:hideMark/>
          </w:tcPr>
          <w:p w14:paraId="5C49F88A" w14:textId="77777777" w:rsidR="004E7F65" w:rsidRPr="00821E8D" w:rsidRDefault="004E7F65" w:rsidP="00821E8D"/>
        </w:tc>
        <w:tc>
          <w:tcPr>
            <w:tcW w:w="1050" w:type="pct"/>
            <w:shd w:val="clear" w:color="auto" w:fill="FFFFFF"/>
            <w:vAlign w:val="center"/>
            <w:hideMark/>
          </w:tcPr>
          <w:p w14:paraId="1CD0BDA5" w14:textId="77777777" w:rsidR="004E7F65" w:rsidRPr="00821E8D" w:rsidRDefault="004E7F65" w:rsidP="00821E8D"/>
        </w:tc>
      </w:tr>
      <w:tr w:rsidR="004E7F65" w:rsidRPr="00821E8D" w14:paraId="087DEFF7" w14:textId="77777777" w:rsidTr="00821E8D">
        <w:trPr>
          <w:trHeight w:val="1134"/>
          <w:tblCellSpacing w:w="0" w:type="dxa"/>
        </w:trPr>
        <w:tc>
          <w:tcPr>
            <w:tcW w:w="3300" w:type="pct"/>
            <w:gridSpan w:val="2"/>
            <w:shd w:val="clear" w:color="auto" w:fill="auto"/>
            <w:hideMark/>
          </w:tcPr>
          <w:p w14:paraId="486FC915" w14:textId="77777777" w:rsidR="004E7F65" w:rsidRPr="00821E8D" w:rsidRDefault="004E7F65" w:rsidP="00821E8D"/>
          <w:p w14:paraId="0381F3C3" w14:textId="77777777" w:rsidR="004E7F65" w:rsidRPr="00821E8D" w:rsidRDefault="004E7F65" w:rsidP="00821E8D"/>
          <w:p w14:paraId="2B713E1B" w14:textId="77777777" w:rsidR="004E7F65" w:rsidRPr="00821E8D" w:rsidRDefault="004E7F65" w:rsidP="00821E8D">
            <w:r w:rsidRPr="00821E8D">
              <w:t>TVA 20 %</w:t>
            </w:r>
          </w:p>
          <w:p w14:paraId="3268697A" w14:textId="77777777" w:rsidR="004E7F65" w:rsidRPr="00821E8D" w:rsidRDefault="004E7F65" w:rsidP="00821E8D"/>
        </w:tc>
        <w:tc>
          <w:tcPr>
            <w:tcW w:w="650" w:type="pct"/>
            <w:shd w:val="clear" w:color="auto" w:fill="B2B2B2"/>
            <w:vAlign w:val="center"/>
            <w:hideMark/>
          </w:tcPr>
          <w:p w14:paraId="6AA334BA" w14:textId="77777777" w:rsidR="004E7F65" w:rsidRPr="00821E8D" w:rsidRDefault="004E7F65" w:rsidP="00821E8D"/>
        </w:tc>
        <w:tc>
          <w:tcPr>
            <w:tcW w:w="1050" w:type="pct"/>
            <w:shd w:val="clear" w:color="auto" w:fill="FFFFFF"/>
            <w:vAlign w:val="center"/>
            <w:hideMark/>
          </w:tcPr>
          <w:p w14:paraId="122AA162" w14:textId="77777777" w:rsidR="004E7F65" w:rsidRPr="00821E8D" w:rsidRDefault="004E7F65" w:rsidP="00821E8D"/>
        </w:tc>
      </w:tr>
      <w:tr w:rsidR="004E7F65" w:rsidRPr="00821E8D" w14:paraId="4B64EEBF" w14:textId="77777777" w:rsidTr="00821E8D">
        <w:trPr>
          <w:trHeight w:val="1134"/>
          <w:tblCellSpacing w:w="0" w:type="dxa"/>
        </w:trPr>
        <w:tc>
          <w:tcPr>
            <w:tcW w:w="3300" w:type="pct"/>
            <w:gridSpan w:val="2"/>
            <w:shd w:val="clear" w:color="auto" w:fill="auto"/>
            <w:hideMark/>
          </w:tcPr>
          <w:p w14:paraId="626B9585" w14:textId="77777777" w:rsidR="004E7F65" w:rsidRPr="00821E8D" w:rsidRDefault="004E7F65" w:rsidP="00821E8D"/>
          <w:p w14:paraId="5453F166" w14:textId="77777777" w:rsidR="004E7F65" w:rsidRPr="00821E8D" w:rsidRDefault="004E7F65" w:rsidP="00821E8D"/>
          <w:p w14:paraId="3360A6FA" w14:textId="77777777" w:rsidR="004E7F65" w:rsidRPr="00821E8D" w:rsidRDefault="004E7F65" w:rsidP="00821E8D">
            <w:r w:rsidRPr="00821E8D">
              <w:t>TOTAL général TTC</w:t>
            </w:r>
          </w:p>
          <w:p w14:paraId="1DF2A541" w14:textId="77777777" w:rsidR="004E7F65" w:rsidRPr="00821E8D" w:rsidRDefault="004E7F65" w:rsidP="00821E8D"/>
        </w:tc>
        <w:tc>
          <w:tcPr>
            <w:tcW w:w="650" w:type="pct"/>
            <w:shd w:val="clear" w:color="auto" w:fill="B2B2B2"/>
            <w:vAlign w:val="center"/>
            <w:hideMark/>
          </w:tcPr>
          <w:p w14:paraId="00BA7FB1" w14:textId="77777777" w:rsidR="004E7F65" w:rsidRPr="00821E8D" w:rsidRDefault="004E7F65" w:rsidP="00821E8D"/>
        </w:tc>
        <w:tc>
          <w:tcPr>
            <w:tcW w:w="1050" w:type="pct"/>
            <w:shd w:val="clear" w:color="auto" w:fill="FFFFFF"/>
            <w:vAlign w:val="center"/>
            <w:hideMark/>
          </w:tcPr>
          <w:p w14:paraId="0DC14AF2" w14:textId="77777777" w:rsidR="004E7F65" w:rsidRPr="00821E8D" w:rsidRDefault="004E7F65" w:rsidP="00821E8D"/>
        </w:tc>
      </w:tr>
    </w:tbl>
    <w:p w14:paraId="7A27E9A4" w14:textId="77777777" w:rsidR="004E7F65" w:rsidRPr="004E7F65" w:rsidRDefault="004E7F65" w:rsidP="004E7F65">
      <w:pPr>
        <w:spacing w:before="100" w:beforeAutospacing="1" w:after="100" w:afterAutospacing="1" w:line="240" w:lineRule="auto"/>
        <w:ind w:left="539" w:right="493"/>
        <w:rPr>
          <w:rFonts w:ascii="Georgia" w:eastAsia="Times New Roman" w:hAnsi="Georgia" w:cs="Times New Roman"/>
          <w:color w:val="000000"/>
          <w:sz w:val="20"/>
          <w:szCs w:val="20"/>
          <w:lang w:eastAsia="fr-FR"/>
        </w:rPr>
      </w:pPr>
    </w:p>
    <w:p w14:paraId="683B2F6A" w14:textId="77777777" w:rsidR="004E7F65" w:rsidRPr="004E7F65" w:rsidRDefault="004E7F65" w:rsidP="004E7F65">
      <w:pPr>
        <w:spacing w:before="100" w:beforeAutospacing="1" w:after="100" w:afterAutospacing="1" w:line="240" w:lineRule="auto"/>
        <w:ind w:left="539" w:right="493"/>
        <w:rPr>
          <w:rFonts w:ascii="Georgia" w:eastAsia="Times New Roman" w:hAnsi="Georgia" w:cs="Times New Roman"/>
          <w:color w:val="000000"/>
          <w:sz w:val="20"/>
          <w:szCs w:val="20"/>
          <w:lang w:eastAsia="fr-FR"/>
        </w:rPr>
      </w:pPr>
    </w:p>
    <w:p w14:paraId="4196D2A5" w14:textId="77777777" w:rsidR="004E7F65" w:rsidRPr="004E7F65" w:rsidRDefault="004E7F65" w:rsidP="004E7F65">
      <w:pPr>
        <w:spacing w:before="100" w:beforeAutospacing="1" w:after="100" w:afterAutospacing="1" w:line="240" w:lineRule="auto"/>
        <w:ind w:right="493"/>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u w:val="single"/>
          <w:lang w:eastAsia="fr-FR"/>
        </w:rPr>
        <w:t>NB : toutes les cases vides de la colonne des montants doivent être remplies d’un montant en €.</w:t>
      </w:r>
    </w:p>
    <w:p w14:paraId="521BD550" w14:textId="77777777" w:rsidR="004E7F65" w:rsidRPr="004E7F65" w:rsidRDefault="004E7F65" w:rsidP="004E7F65">
      <w:pPr>
        <w:spacing w:before="100" w:beforeAutospacing="1" w:after="100" w:afterAutospacing="1" w:line="240" w:lineRule="auto"/>
        <w:ind w:left="539" w:right="493"/>
        <w:rPr>
          <w:rFonts w:ascii="Times New Roman" w:eastAsia="Times New Roman" w:hAnsi="Times New Roman" w:cs="Times New Roman"/>
          <w:color w:val="000000"/>
          <w:sz w:val="24"/>
          <w:szCs w:val="24"/>
          <w:lang w:eastAsia="fr-FR"/>
        </w:rPr>
      </w:pPr>
    </w:p>
    <w:p w14:paraId="10D341F2" w14:textId="77777777" w:rsidR="00611443" w:rsidRDefault="00611443"/>
    <w:sectPr w:rsidR="0061144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A074C" w14:textId="77777777" w:rsidR="0058744D" w:rsidRDefault="0058744D" w:rsidP="004F156D">
      <w:pPr>
        <w:spacing w:after="0" w:line="240" w:lineRule="auto"/>
      </w:pPr>
      <w:r>
        <w:separator/>
      </w:r>
    </w:p>
  </w:endnote>
  <w:endnote w:type="continuationSeparator" w:id="0">
    <w:p w14:paraId="383B0C87" w14:textId="77777777" w:rsidR="0058744D" w:rsidRDefault="0058744D" w:rsidP="004F1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E42AF" w14:textId="77777777" w:rsidR="0058744D" w:rsidRDefault="0058744D" w:rsidP="004F156D">
      <w:pPr>
        <w:spacing w:after="0" w:line="240" w:lineRule="auto"/>
      </w:pPr>
      <w:r>
        <w:separator/>
      </w:r>
    </w:p>
  </w:footnote>
  <w:footnote w:type="continuationSeparator" w:id="0">
    <w:p w14:paraId="6F7C4391" w14:textId="77777777" w:rsidR="0058744D" w:rsidRDefault="0058744D" w:rsidP="004F1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6C6D8" w14:textId="77777777" w:rsidR="004F156D" w:rsidRPr="001344CD" w:rsidRDefault="004F156D" w:rsidP="004F156D">
    <w:pPr>
      <w:pStyle w:val="En-tte"/>
      <w:rPr>
        <w:rStyle w:val="Rfrencelgre"/>
      </w:rPr>
    </w:pPr>
    <w:r>
      <w:rPr>
        <w:rStyle w:val="Rfrencelgre"/>
      </w:rPr>
      <w:t>D.P.G.F/</w:t>
    </w:r>
    <w:r w:rsidRPr="001344CD">
      <w:rPr>
        <w:rStyle w:val="Rfrencelgre"/>
      </w:rPr>
      <w:t>C.C.</w:t>
    </w:r>
    <w:proofErr w:type="gramStart"/>
    <w:r w:rsidRPr="001344CD">
      <w:rPr>
        <w:rStyle w:val="Rfrencelgre"/>
      </w:rPr>
      <w:t>T.P</w:t>
    </w:r>
    <w:proofErr w:type="gramEnd"/>
    <w:r w:rsidRPr="001344CD">
      <w:rPr>
        <w:rStyle w:val="Rfrencelgre"/>
      </w:rPr>
      <w:t xml:space="preserve"> PRESTATIONS DE MAINTENANCE / CONDUITE DES INSTALLATIONS ÉLECTRIQUES ET DE PETITS TRAVAUX D’ÉLECTRICITÉ SUR LE SITE DE PARIS DES ARCHIVES NATIONALES</w:t>
    </w:r>
  </w:p>
  <w:p w14:paraId="3BE6F6CE" w14:textId="77777777" w:rsidR="004F156D" w:rsidRDefault="004F156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F65"/>
    <w:rsid w:val="00057738"/>
    <w:rsid w:val="002446E0"/>
    <w:rsid w:val="00246022"/>
    <w:rsid w:val="00247086"/>
    <w:rsid w:val="00250FF5"/>
    <w:rsid w:val="0026051D"/>
    <w:rsid w:val="002A687B"/>
    <w:rsid w:val="00300A74"/>
    <w:rsid w:val="003051A6"/>
    <w:rsid w:val="004E7F65"/>
    <w:rsid w:val="004F156D"/>
    <w:rsid w:val="00517A02"/>
    <w:rsid w:val="00527097"/>
    <w:rsid w:val="005555FF"/>
    <w:rsid w:val="0058744D"/>
    <w:rsid w:val="00611443"/>
    <w:rsid w:val="007C2926"/>
    <w:rsid w:val="00821E8D"/>
    <w:rsid w:val="0086677B"/>
    <w:rsid w:val="009D3DC7"/>
    <w:rsid w:val="009F70A4"/>
    <w:rsid w:val="00A07132"/>
    <w:rsid w:val="00AB407D"/>
    <w:rsid w:val="00B10BFC"/>
    <w:rsid w:val="00B41A8E"/>
    <w:rsid w:val="00C42B9F"/>
    <w:rsid w:val="00C62175"/>
    <w:rsid w:val="00D47BBE"/>
    <w:rsid w:val="00E17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FFAAF"/>
  <w15:chartTrackingRefBased/>
  <w15:docId w15:val="{CE09B0F1-1AD6-46E7-A15E-D2659CC73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F156D"/>
    <w:pPr>
      <w:tabs>
        <w:tab w:val="center" w:pos="4536"/>
        <w:tab w:val="right" w:pos="9072"/>
      </w:tabs>
      <w:spacing w:after="0" w:line="240" w:lineRule="auto"/>
    </w:pPr>
  </w:style>
  <w:style w:type="character" w:customStyle="1" w:styleId="En-tteCar">
    <w:name w:val="En-tête Car"/>
    <w:basedOn w:val="Policepardfaut"/>
    <w:link w:val="En-tte"/>
    <w:uiPriority w:val="99"/>
    <w:rsid w:val="004F156D"/>
  </w:style>
  <w:style w:type="paragraph" w:styleId="Pieddepage">
    <w:name w:val="footer"/>
    <w:basedOn w:val="Normal"/>
    <w:link w:val="PieddepageCar"/>
    <w:uiPriority w:val="99"/>
    <w:unhideWhenUsed/>
    <w:rsid w:val="004F15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156D"/>
  </w:style>
  <w:style w:type="character" w:styleId="Rfrencelgre">
    <w:name w:val="Subtle Reference"/>
    <w:basedOn w:val="Policepardfaut"/>
    <w:uiPriority w:val="31"/>
    <w:qFormat/>
    <w:rsid w:val="004F156D"/>
    <w:rPr>
      <w:smallCaps/>
      <w:color w:val="5A5A5A" w:themeColor="text1" w:themeTint="A5"/>
    </w:rPr>
  </w:style>
  <w:style w:type="paragraph" w:styleId="Sansinterligne">
    <w:name w:val="No Spacing"/>
    <w:uiPriority w:val="1"/>
    <w:qFormat/>
    <w:rsid w:val="00821E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2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19C13-4D9E-40D8-A992-B025F1109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5</Pages>
  <Words>718</Words>
  <Characters>3953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DIOUF Moussa</dc:creator>
  <cp:keywords/>
  <dc:description/>
  <cp:lastModifiedBy>ALMASIOVA Zuzana</cp:lastModifiedBy>
  <cp:revision>5</cp:revision>
  <dcterms:created xsi:type="dcterms:W3CDTF">2025-11-12T15:58:00Z</dcterms:created>
  <dcterms:modified xsi:type="dcterms:W3CDTF">2025-11-27T12:18:00Z</dcterms:modified>
</cp:coreProperties>
</file>